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408" w:rsidRDefault="00574408">
      <w:pPr>
        <w:pBdr>
          <w:top w:val="nil"/>
          <w:left w:val="nil"/>
          <w:bottom w:val="nil"/>
          <w:right w:val="nil"/>
          <w:between w:val="nil"/>
        </w:pBdr>
        <w:spacing w:before="100" w:after="100"/>
        <w:jc w:val="center"/>
        <w:rPr>
          <w:rFonts w:ascii="Arial" w:eastAsia="Arial" w:hAnsi="Arial" w:cs="Arial"/>
          <w:b/>
          <w:i/>
          <w:color w:val="000000"/>
          <w:sz w:val="22"/>
          <w:szCs w:val="22"/>
        </w:rPr>
      </w:pPr>
    </w:p>
    <w:p w:rsidR="00574408" w:rsidRDefault="001F6C8E">
      <w:pPr>
        <w:jc w:val="both"/>
        <w:rPr>
          <w:rFonts w:ascii="Arial" w:eastAsia="Arial" w:hAnsi="Arial" w:cs="Arial"/>
          <w:sz w:val="22"/>
          <w:szCs w:val="22"/>
        </w:rPr>
      </w:pPr>
      <w:r>
        <w:rPr>
          <w:rFonts w:ascii="Arial" w:eastAsia="Arial" w:hAnsi="Arial" w:cs="Arial"/>
          <w:sz w:val="22"/>
          <w:szCs w:val="22"/>
        </w:rPr>
        <w:t>Bogotá D.C., m</w:t>
      </w:r>
      <w:r w:rsidR="008F6053">
        <w:rPr>
          <w:rFonts w:ascii="Arial" w:eastAsia="Arial" w:hAnsi="Arial" w:cs="Arial"/>
          <w:sz w:val="22"/>
          <w:szCs w:val="22"/>
        </w:rPr>
        <w:t>ayo 17</w:t>
      </w:r>
      <w:r w:rsidR="00E870D2">
        <w:rPr>
          <w:rFonts w:ascii="Arial" w:eastAsia="Arial" w:hAnsi="Arial" w:cs="Arial"/>
          <w:sz w:val="22"/>
          <w:szCs w:val="22"/>
        </w:rPr>
        <w:t xml:space="preserve"> de 2018</w:t>
      </w:r>
    </w:p>
    <w:p w:rsidR="00574408" w:rsidRDefault="00574408">
      <w:pPr>
        <w:jc w:val="both"/>
        <w:rPr>
          <w:rFonts w:ascii="Arial" w:eastAsia="Arial" w:hAnsi="Arial" w:cs="Arial"/>
          <w:sz w:val="22"/>
          <w:szCs w:val="22"/>
        </w:rPr>
      </w:pPr>
    </w:p>
    <w:p w:rsidR="00574408" w:rsidRDefault="00E870D2">
      <w:pPr>
        <w:jc w:val="both"/>
        <w:rPr>
          <w:rFonts w:ascii="Arial" w:eastAsia="Arial" w:hAnsi="Arial" w:cs="Arial"/>
          <w:sz w:val="22"/>
          <w:szCs w:val="22"/>
        </w:rPr>
      </w:pPr>
      <w:r>
        <w:rPr>
          <w:rFonts w:ascii="Arial" w:eastAsia="Arial" w:hAnsi="Arial" w:cs="Arial"/>
          <w:sz w:val="22"/>
          <w:szCs w:val="22"/>
        </w:rPr>
        <w:t>Doctores</w:t>
      </w:r>
    </w:p>
    <w:p w:rsidR="00574408" w:rsidRDefault="00577514">
      <w:pPr>
        <w:jc w:val="both"/>
        <w:rPr>
          <w:rFonts w:ascii="Arial" w:eastAsia="Arial" w:hAnsi="Arial" w:cs="Arial"/>
          <w:b/>
          <w:sz w:val="22"/>
          <w:szCs w:val="22"/>
        </w:rPr>
      </w:pPr>
      <w:hyperlink r:id="rId8">
        <w:r w:rsidR="00E870D2">
          <w:rPr>
            <w:rFonts w:ascii="Arial" w:eastAsia="Arial" w:hAnsi="Arial" w:cs="Arial"/>
            <w:b/>
            <w:sz w:val="22"/>
            <w:szCs w:val="22"/>
          </w:rPr>
          <w:t>EFRAIN</w:t>
        </w:r>
      </w:hyperlink>
      <w:r w:rsidR="00E870D2">
        <w:rPr>
          <w:rFonts w:ascii="Arial" w:eastAsia="Arial" w:hAnsi="Arial" w:cs="Arial"/>
          <w:b/>
          <w:sz w:val="22"/>
          <w:szCs w:val="22"/>
        </w:rPr>
        <w:t xml:space="preserve"> CEPEDA SARABIA</w:t>
      </w:r>
      <w:bookmarkStart w:id="0" w:name="_GoBack"/>
      <w:bookmarkEnd w:id="0"/>
    </w:p>
    <w:p w:rsidR="00574408" w:rsidRDefault="00E870D2">
      <w:pPr>
        <w:jc w:val="both"/>
        <w:rPr>
          <w:rFonts w:ascii="Arial" w:eastAsia="Arial" w:hAnsi="Arial" w:cs="Arial"/>
          <w:sz w:val="22"/>
          <w:szCs w:val="22"/>
        </w:rPr>
      </w:pPr>
      <w:r>
        <w:rPr>
          <w:rFonts w:ascii="Arial" w:eastAsia="Arial" w:hAnsi="Arial" w:cs="Arial"/>
          <w:sz w:val="22"/>
          <w:szCs w:val="22"/>
        </w:rPr>
        <w:t>Presidente Senado de la República</w:t>
      </w:r>
    </w:p>
    <w:p w:rsidR="00574408" w:rsidRDefault="00577514">
      <w:pPr>
        <w:jc w:val="both"/>
        <w:rPr>
          <w:rFonts w:ascii="Arial" w:eastAsia="Arial" w:hAnsi="Arial" w:cs="Arial"/>
          <w:b/>
          <w:sz w:val="22"/>
          <w:szCs w:val="22"/>
        </w:rPr>
      </w:pPr>
      <w:hyperlink r:id="rId9">
        <w:r w:rsidR="00E870D2">
          <w:rPr>
            <w:rFonts w:ascii="Arial" w:eastAsia="Arial" w:hAnsi="Arial" w:cs="Arial"/>
            <w:b/>
            <w:sz w:val="22"/>
            <w:szCs w:val="22"/>
          </w:rPr>
          <w:t>RODRIGO</w:t>
        </w:r>
      </w:hyperlink>
      <w:r w:rsidR="00E870D2">
        <w:rPr>
          <w:rFonts w:ascii="Arial" w:eastAsia="Arial" w:hAnsi="Arial" w:cs="Arial"/>
          <w:b/>
          <w:sz w:val="22"/>
          <w:szCs w:val="22"/>
        </w:rPr>
        <w:t xml:space="preserve"> LARA RESTREPO</w:t>
      </w:r>
    </w:p>
    <w:p w:rsidR="00574408" w:rsidRDefault="00E870D2">
      <w:pPr>
        <w:jc w:val="both"/>
        <w:rPr>
          <w:rFonts w:ascii="Arial" w:eastAsia="Arial" w:hAnsi="Arial" w:cs="Arial"/>
          <w:sz w:val="22"/>
          <w:szCs w:val="22"/>
        </w:rPr>
      </w:pPr>
      <w:r>
        <w:rPr>
          <w:rFonts w:ascii="Arial" w:eastAsia="Arial" w:hAnsi="Arial" w:cs="Arial"/>
          <w:sz w:val="22"/>
          <w:szCs w:val="22"/>
        </w:rPr>
        <w:t>Presidente Cámara de Representantes</w:t>
      </w:r>
    </w:p>
    <w:p w:rsidR="00574408" w:rsidRDefault="00E870D2">
      <w:pPr>
        <w:jc w:val="both"/>
        <w:rPr>
          <w:rFonts w:ascii="Arial" w:eastAsia="Arial" w:hAnsi="Arial" w:cs="Arial"/>
          <w:sz w:val="22"/>
          <w:szCs w:val="22"/>
        </w:rPr>
      </w:pPr>
      <w:r>
        <w:rPr>
          <w:rFonts w:ascii="Arial" w:eastAsia="Arial" w:hAnsi="Arial" w:cs="Arial"/>
          <w:sz w:val="22"/>
          <w:szCs w:val="22"/>
        </w:rPr>
        <w:t>Ciudad</w:t>
      </w:r>
    </w:p>
    <w:p w:rsidR="00574408" w:rsidRDefault="00E870D2">
      <w:pPr>
        <w:jc w:val="both"/>
        <w:rPr>
          <w:rFonts w:ascii="Arial" w:eastAsia="Arial" w:hAnsi="Arial" w:cs="Arial"/>
          <w:sz w:val="22"/>
          <w:szCs w:val="22"/>
        </w:rPr>
      </w:pPr>
      <w:r>
        <w:rPr>
          <w:rFonts w:ascii="Arial" w:eastAsia="Arial" w:hAnsi="Arial" w:cs="Arial"/>
          <w:sz w:val="22"/>
          <w:szCs w:val="22"/>
        </w:rPr>
        <w:t xml:space="preserve"> </w:t>
      </w:r>
    </w:p>
    <w:p w:rsidR="00574408" w:rsidRDefault="00E870D2">
      <w:pPr>
        <w:jc w:val="both"/>
        <w:rPr>
          <w:rFonts w:ascii="Arial" w:eastAsia="Arial" w:hAnsi="Arial" w:cs="Arial"/>
          <w:b/>
          <w:i/>
          <w:sz w:val="22"/>
          <w:szCs w:val="22"/>
        </w:rPr>
      </w:pPr>
      <w:r>
        <w:rPr>
          <w:rFonts w:ascii="Arial" w:eastAsia="Arial" w:hAnsi="Arial" w:cs="Arial"/>
          <w:b/>
          <w:sz w:val="22"/>
          <w:szCs w:val="22"/>
        </w:rPr>
        <w:t xml:space="preserve">Referencia: Informe de Conciliación al Proyecto de Ley No 169 de 2017 Senado – 026 de 2017 Cámara </w:t>
      </w:r>
      <w:r>
        <w:rPr>
          <w:rFonts w:ascii="Arial" w:eastAsia="Arial" w:hAnsi="Arial" w:cs="Arial"/>
          <w:b/>
          <w:i/>
          <w:sz w:val="22"/>
          <w:szCs w:val="22"/>
        </w:rPr>
        <w:t>“Por medio de la cual se exceptúa al Ministerio del Trabajo, al Instituto Nacional Penitenciario y Carcelario (INPEC), al Congreso de la República - Cámara de Representantes y Senado de la República, a la Unidad Administrativa Especial de Aeronáutica Civil (UAEAC) y al Departamento Administrativo para la Prosperidad Social (DPS), de lo dispuesto en el artículo 92 de la Ley 617 de 2000”</w:t>
      </w:r>
    </w:p>
    <w:p w:rsidR="001F6C8E" w:rsidRDefault="001F6C8E">
      <w:pPr>
        <w:jc w:val="both"/>
        <w:rPr>
          <w:rFonts w:ascii="Arial" w:eastAsia="Arial" w:hAnsi="Arial" w:cs="Arial"/>
          <w:b/>
          <w:i/>
          <w:sz w:val="22"/>
          <w:szCs w:val="22"/>
        </w:rPr>
      </w:pPr>
    </w:p>
    <w:p w:rsidR="00574408" w:rsidRDefault="00E870D2">
      <w:pPr>
        <w:pBdr>
          <w:top w:val="nil"/>
          <w:left w:val="nil"/>
          <w:bottom w:val="nil"/>
          <w:right w:val="nil"/>
          <w:between w:val="nil"/>
        </w:pBdr>
        <w:spacing w:before="100" w:after="100"/>
        <w:jc w:val="both"/>
        <w:rPr>
          <w:rFonts w:ascii="Arial" w:eastAsia="Arial" w:hAnsi="Arial" w:cs="Arial"/>
          <w:color w:val="000000"/>
          <w:sz w:val="22"/>
          <w:szCs w:val="22"/>
        </w:rPr>
      </w:pPr>
      <w:r>
        <w:rPr>
          <w:rFonts w:ascii="Arial" w:eastAsia="Arial" w:hAnsi="Arial" w:cs="Arial"/>
          <w:color w:val="000000"/>
          <w:sz w:val="22"/>
          <w:szCs w:val="22"/>
        </w:rPr>
        <w:t>Apreciados Señores Presidentes:</w:t>
      </w:r>
    </w:p>
    <w:p w:rsidR="001F6C8E" w:rsidRDefault="001F6C8E">
      <w:pPr>
        <w:jc w:val="both"/>
        <w:rPr>
          <w:rFonts w:ascii="Arial" w:eastAsia="Arial" w:hAnsi="Arial" w:cs="Arial"/>
          <w:sz w:val="22"/>
          <w:szCs w:val="22"/>
        </w:rPr>
      </w:pPr>
    </w:p>
    <w:p w:rsidR="00574408" w:rsidRDefault="00E870D2">
      <w:pPr>
        <w:jc w:val="both"/>
        <w:rPr>
          <w:rFonts w:ascii="Arial" w:eastAsia="Arial" w:hAnsi="Arial" w:cs="Arial"/>
          <w:sz w:val="22"/>
          <w:szCs w:val="22"/>
        </w:rPr>
      </w:pPr>
      <w:r>
        <w:rPr>
          <w:rFonts w:ascii="Arial" w:eastAsia="Arial" w:hAnsi="Arial" w:cs="Arial"/>
          <w:sz w:val="22"/>
          <w:szCs w:val="22"/>
        </w:rPr>
        <w:t>De acuerdo con la designación efectuada por las presidencias del Senado y Cámara y de conformidad con los artículos 161 de la Constitución Política y 186 de la Ley 5ª de 1992, los suscritos integrantes de la comisión accidental de conciliación, nos permitimos someter, a consideración de las plenarias del Senado y de la Cámara de Representantes para continuar su trámite correspondiente, el texto conciliado del proyecto de ley de la referencia.</w:t>
      </w:r>
    </w:p>
    <w:p w:rsidR="00574408" w:rsidRDefault="00574408">
      <w:pPr>
        <w:jc w:val="both"/>
        <w:rPr>
          <w:rFonts w:ascii="Arial" w:eastAsia="Arial" w:hAnsi="Arial" w:cs="Arial"/>
          <w:sz w:val="22"/>
          <w:szCs w:val="22"/>
        </w:rPr>
      </w:pPr>
    </w:p>
    <w:p w:rsidR="00574408" w:rsidRDefault="00E870D2">
      <w:pPr>
        <w:jc w:val="both"/>
        <w:rPr>
          <w:rFonts w:ascii="Arial" w:eastAsia="Arial" w:hAnsi="Arial" w:cs="Arial"/>
          <w:sz w:val="22"/>
          <w:szCs w:val="22"/>
        </w:rPr>
      </w:pPr>
      <w:r>
        <w:rPr>
          <w:rFonts w:ascii="Arial" w:eastAsia="Arial" w:hAnsi="Arial" w:cs="Arial"/>
          <w:sz w:val="22"/>
          <w:szCs w:val="22"/>
        </w:rPr>
        <w:t xml:space="preserve">La comisión presenta a continuación el impacto real que tendrá la aprobación del proyecto de ley en las entidades involucradas así: </w:t>
      </w:r>
    </w:p>
    <w:p w:rsidR="00574408" w:rsidRDefault="00574408">
      <w:pPr>
        <w:jc w:val="both"/>
        <w:rPr>
          <w:rFonts w:ascii="Arial" w:eastAsia="Arial" w:hAnsi="Arial" w:cs="Arial"/>
          <w:sz w:val="22"/>
          <w:szCs w:val="22"/>
        </w:rPr>
      </w:pPr>
    </w:p>
    <w:p w:rsidR="00574408" w:rsidRDefault="00574408">
      <w:pPr>
        <w:jc w:val="both"/>
        <w:rPr>
          <w:rFonts w:ascii="Arial" w:eastAsia="Arial" w:hAnsi="Arial" w:cs="Arial"/>
          <w:b/>
          <w:sz w:val="22"/>
          <w:szCs w:val="22"/>
        </w:rPr>
      </w:pPr>
    </w:p>
    <w:p w:rsidR="00574408" w:rsidRDefault="00E870D2">
      <w:pPr>
        <w:jc w:val="both"/>
        <w:rPr>
          <w:rFonts w:ascii="Arial" w:eastAsia="Arial" w:hAnsi="Arial" w:cs="Arial"/>
          <w:b/>
          <w:sz w:val="22"/>
          <w:szCs w:val="22"/>
        </w:rPr>
      </w:pPr>
      <w:r>
        <w:rPr>
          <w:rFonts w:ascii="Arial" w:eastAsia="Arial" w:hAnsi="Arial" w:cs="Arial"/>
          <w:b/>
          <w:sz w:val="22"/>
          <w:szCs w:val="22"/>
        </w:rPr>
        <w:t>MINISTERIO DE TRABAJO</w:t>
      </w:r>
    </w:p>
    <w:p w:rsidR="00574408" w:rsidRDefault="00574408">
      <w:pPr>
        <w:jc w:val="both"/>
        <w:rPr>
          <w:rFonts w:ascii="Arial" w:eastAsia="Arial" w:hAnsi="Arial" w:cs="Arial"/>
          <w:sz w:val="22"/>
          <w:szCs w:val="22"/>
        </w:rPr>
      </w:pPr>
    </w:p>
    <w:p w:rsidR="00574408" w:rsidRDefault="00E870D2">
      <w:pPr>
        <w:jc w:val="both"/>
        <w:rPr>
          <w:rFonts w:ascii="Arial" w:eastAsia="Arial" w:hAnsi="Arial" w:cs="Arial"/>
          <w:sz w:val="22"/>
          <w:szCs w:val="22"/>
        </w:rPr>
      </w:pPr>
      <w:r>
        <w:rPr>
          <w:rFonts w:ascii="Arial" w:eastAsia="Arial" w:hAnsi="Arial" w:cs="Arial"/>
          <w:sz w:val="22"/>
          <w:szCs w:val="22"/>
        </w:rPr>
        <w:t xml:space="preserve">Revisadas las condiciones institucionales, se ha identificado un problema crítico que está afectando el normal funcionamiento de la entidad relacionado con la brecha que existe entre las plantas de personal (en términos de cargos por nivel) y su relación directa con los salarios devengados, que al compararlos con las funciones, responsabilidades y salarios en otras entidades de similar naturaleza evidencian una importante diferencia en materia salarial y prestacional. Lo anterior determina la necesidad de lograr la modificación de la planta de personal, beneficiando 1.814 funcionarios del Ministerio del Trabajo de diferentes niveles, a quienes se les aumentará un grado salarial, cabe hacer claridad que esta nivelación no aplica para asesores de despacho ni directivos de la Entidad. </w:t>
      </w:r>
    </w:p>
    <w:p w:rsidR="00574408" w:rsidRDefault="00574408">
      <w:pPr>
        <w:jc w:val="both"/>
        <w:rPr>
          <w:rFonts w:ascii="Arial" w:eastAsia="Arial" w:hAnsi="Arial" w:cs="Arial"/>
          <w:sz w:val="22"/>
          <w:szCs w:val="22"/>
        </w:rPr>
      </w:pPr>
    </w:p>
    <w:p w:rsidR="00574408" w:rsidRDefault="00E870D2">
      <w:pPr>
        <w:jc w:val="both"/>
        <w:rPr>
          <w:rFonts w:ascii="Arial" w:eastAsia="Arial" w:hAnsi="Arial" w:cs="Arial"/>
          <w:b/>
          <w:sz w:val="22"/>
          <w:szCs w:val="22"/>
        </w:rPr>
      </w:pPr>
      <w:r>
        <w:rPr>
          <w:rFonts w:ascii="Arial" w:eastAsia="Arial" w:hAnsi="Arial" w:cs="Arial"/>
          <w:b/>
          <w:sz w:val="22"/>
          <w:szCs w:val="22"/>
        </w:rPr>
        <w:t>INSTITUTO NACIONAL PENITENCIARIO Y CARCELARIO (INPEC)</w:t>
      </w:r>
    </w:p>
    <w:p w:rsidR="00574408" w:rsidRDefault="00574408">
      <w:pPr>
        <w:jc w:val="both"/>
        <w:rPr>
          <w:rFonts w:ascii="Arial" w:eastAsia="Arial" w:hAnsi="Arial" w:cs="Arial"/>
          <w:sz w:val="22"/>
          <w:szCs w:val="22"/>
        </w:rPr>
      </w:pPr>
    </w:p>
    <w:p w:rsidR="00574408" w:rsidRDefault="00E870D2">
      <w:pPr>
        <w:shd w:val="clear" w:color="auto" w:fill="FFFFFF"/>
        <w:jc w:val="both"/>
        <w:rPr>
          <w:rFonts w:ascii="Arial" w:eastAsia="Arial" w:hAnsi="Arial" w:cs="Arial"/>
          <w:color w:val="212121"/>
          <w:sz w:val="22"/>
          <w:szCs w:val="22"/>
        </w:rPr>
      </w:pPr>
      <w:r>
        <w:rPr>
          <w:rFonts w:ascii="Arial" w:eastAsia="Arial" w:hAnsi="Arial" w:cs="Arial"/>
          <w:color w:val="212121"/>
          <w:sz w:val="22"/>
          <w:szCs w:val="22"/>
        </w:rPr>
        <w:t xml:space="preserve">Ante el incremento de 36.9% en los últimos años ocho años del personal privado de la libertad en el país y por ende la ampliación de los establecimientos de reclusión que buscan reducir los índices de hacinamiento, sin que se haya presentado ampliación de planta de personal en los últimos 8 años, lo que genera que los procesos de seguridad y resocialización del personal de internos se vean afectados, por lo cual se requiere una ampliación de la planta de personal del Instituto, con el fin de atender las necesidades más </w:t>
      </w:r>
      <w:r>
        <w:rPr>
          <w:rFonts w:ascii="Arial" w:eastAsia="Arial" w:hAnsi="Arial" w:cs="Arial"/>
          <w:color w:val="212121"/>
          <w:sz w:val="22"/>
          <w:szCs w:val="22"/>
        </w:rPr>
        <w:lastRenderedPageBreak/>
        <w:t>apremiantes que se presentan al interior de los establecimientos de reclusión, en especial aquellos que ya entraron en funcionamiento (Ibagué, Guaduas, Popayán, Jamundí, Florencia, Puerto Triunfo y Acacias), así como las ampliaciones y construcciones proyectadas (Tuluá, Buga, Espinal, Girón, Ipiales, Ibagué, Pereira; Riohacha, Fundación y Yarumal).</w:t>
      </w:r>
    </w:p>
    <w:p w:rsidR="00574408" w:rsidRDefault="00574408">
      <w:pPr>
        <w:jc w:val="both"/>
        <w:rPr>
          <w:rFonts w:ascii="Arial" w:eastAsia="Arial" w:hAnsi="Arial" w:cs="Arial"/>
          <w:sz w:val="22"/>
          <w:szCs w:val="22"/>
        </w:rPr>
      </w:pPr>
    </w:p>
    <w:p w:rsidR="00574408" w:rsidRDefault="00E870D2">
      <w:pPr>
        <w:shd w:val="clear" w:color="auto" w:fill="FFFFFF"/>
        <w:rPr>
          <w:rFonts w:ascii="Arial" w:eastAsia="Arial" w:hAnsi="Arial" w:cs="Arial"/>
          <w:color w:val="212121"/>
          <w:sz w:val="22"/>
          <w:szCs w:val="22"/>
        </w:rPr>
      </w:pPr>
      <w:r>
        <w:rPr>
          <w:rFonts w:ascii="Arial" w:eastAsia="Arial" w:hAnsi="Arial" w:cs="Arial"/>
          <w:color w:val="212121"/>
          <w:sz w:val="22"/>
          <w:szCs w:val="22"/>
        </w:rPr>
        <w:t>Es por lo anterior que se requiere la ampliación de la planta en 2300 empleos de Dragoneante y 500 administrativos para un total de 2800 nuevos empleos.</w:t>
      </w:r>
    </w:p>
    <w:p w:rsidR="00574408" w:rsidRDefault="00574408">
      <w:pPr>
        <w:jc w:val="both"/>
        <w:rPr>
          <w:rFonts w:ascii="Arial" w:eastAsia="Arial" w:hAnsi="Arial" w:cs="Arial"/>
          <w:sz w:val="22"/>
          <w:szCs w:val="22"/>
        </w:rPr>
      </w:pPr>
    </w:p>
    <w:p w:rsidR="00574408" w:rsidRDefault="00574408">
      <w:pPr>
        <w:jc w:val="both"/>
        <w:rPr>
          <w:rFonts w:ascii="Arial" w:eastAsia="Arial" w:hAnsi="Arial" w:cs="Arial"/>
          <w:sz w:val="22"/>
          <w:szCs w:val="22"/>
        </w:rPr>
      </w:pPr>
    </w:p>
    <w:p w:rsidR="00574408" w:rsidRDefault="00E870D2">
      <w:pPr>
        <w:jc w:val="both"/>
        <w:rPr>
          <w:rFonts w:ascii="Arial" w:eastAsia="Arial" w:hAnsi="Arial" w:cs="Arial"/>
          <w:sz w:val="22"/>
          <w:szCs w:val="22"/>
        </w:rPr>
      </w:pPr>
      <w:r>
        <w:rPr>
          <w:rFonts w:ascii="Arial" w:eastAsia="Arial" w:hAnsi="Arial" w:cs="Arial"/>
          <w:b/>
          <w:sz w:val="22"/>
          <w:szCs w:val="22"/>
        </w:rPr>
        <w:t>CONGRESO DE LA REPÚBLICA - CÁMARA DE REPRESENTANTES Y SENADO DE LA REPÚBLICA.</w:t>
      </w:r>
    </w:p>
    <w:p w:rsidR="00574408" w:rsidRDefault="00574408">
      <w:pPr>
        <w:jc w:val="both"/>
        <w:rPr>
          <w:rFonts w:ascii="Arial" w:eastAsia="Arial" w:hAnsi="Arial" w:cs="Arial"/>
          <w:sz w:val="22"/>
          <w:szCs w:val="22"/>
        </w:rPr>
      </w:pPr>
    </w:p>
    <w:p w:rsidR="00574408" w:rsidRDefault="00E870D2">
      <w:pPr>
        <w:jc w:val="both"/>
        <w:rPr>
          <w:rFonts w:ascii="Arial" w:eastAsia="Arial" w:hAnsi="Arial" w:cs="Arial"/>
          <w:sz w:val="22"/>
          <w:szCs w:val="22"/>
        </w:rPr>
      </w:pPr>
      <w:r>
        <w:rPr>
          <w:rFonts w:ascii="Arial" w:eastAsia="Arial" w:hAnsi="Arial" w:cs="Arial"/>
          <w:sz w:val="22"/>
          <w:szCs w:val="22"/>
        </w:rPr>
        <w:t xml:space="preserve">La nivelación salarial propuesta para los los Funcionarios aplica  únicamente para la Planta Administrativa mas no para los de Unidad de Trabajo Legislativo  y esto se sustenta en que hoy existen funcionarios que han cumplido más de 30 años al servicio del Congreso de la República, donde con gran sacrificio,  dedicación y esfuerzo se han profesionalizado, por poner un ejemplo hay funcionarios que tienen 2 carreras profesionales, 3 especializaciones, cuentan con experiencia laboral calificada, pero no han tenido posibilidad de ascenso o eventualmente, nivelación salarial, como se ha venido realizado en otras Entidades del Estado, en especial órganos de control como la Fiscalía General de la Nación, Contraloría General de la República,  Procuraduría General de la Nación, la DIAN, entre otras;  lo que les impide mejorar sus condiciones salariales y condiciones de vida. </w:t>
      </w:r>
    </w:p>
    <w:p w:rsidR="00574408" w:rsidRDefault="00574408">
      <w:pPr>
        <w:jc w:val="both"/>
        <w:rPr>
          <w:rFonts w:ascii="Arial" w:eastAsia="Arial" w:hAnsi="Arial" w:cs="Arial"/>
          <w:sz w:val="22"/>
          <w:szCs w:val="22"/>
        </w:rPr>
      </w:pPr>
    </w:p>
    <w:p w:rsidR="00574408" w:rsidRDefault="00E870D2">
      <w:pPr>
        <w:jc w:val="both"/>
        <w:rPr>
          <w:rFonts w:ascii="Arial" w:eastAsia="Arial" w:hAnsi="Arial" w:cs="Arial"/>
          <w:sz w:val="22"/>
          <w:szCs w:val="22"/>
        </w:rPr>
      </w:pPr>
      <w:r>
        <w:rPr>
          <w:rFonts w:ascii="Arial" w:eastAsia="Arial" w:hAnsi="Arial" w:cs="Arial"/>
          <w:sz w:val="22"/>
          <w:szCs w:val="22"/>
        </w:rPr>
        <w:t xml:space="preserve"> A través de la Nivelación Salarial, se busca compensar el desequilibrio que durante años se ha venido presentando comparativamente frente a los incrementos que se dan con base en el Salario Mínimo y el IPC que se aplica al Congreso de la República. </w:t>
      </w:r>
    </w:p>
    <w:p w:rsidR="00574408" w:rsidRDefault="00574408">
      <w:pPr>
        <w:jc w:val="both"/>
        <w:rPr>
          <w:rFonts w:ascii="Arial" w:eastAsia="Arial" w:hAnsi="Arial" w:cs="Arial"/>
          <w:sz w:val="22"/>
          <w:szCs w:val="22"/>
        </w:rPr>
      </w:pPr>
    </w:p>
    <w:p w:rsidR="00574408" w:rsidRDefault="00E870D2">
      <w:pPr>
        <w:jc w:val="both"/>
        <w:rPr>
          <w:rFonts w:ascii="Arial" w:eastAsia="Arial" w:hAnsi="Arial" w:cs="Arial"/>
          <w:sz w:val="22"/>
          <w:szCs w:val="22"/>
        </w:rPr>
      </w:pPr>
      <w:r>
        <w:rPr>
          <w:rFonts w:ascii="Arial" w:eastAsia="Arial" w:hAnsi="Arial" w:cs="Arial"/>
          <w:sz w:val="22"/>
          <w:szCs w:val="22"/>
        </w:rPr>
        <w:t>De allí, la necesidad de este proyecto de nivelación salarial para los empleados de planta, a través del cual se busca de manera progresiva y gradual, equilibrar temporalmente la existencia de un desajuste salarial a nivel Institucional, durante las vigencias 2018 a 2022 es decir de manera gradual.</w:t>
      </w:r>
    </w:p>
    <w:p w:rsidR="00574408" w:rsidRDefault="00574408">
      <w:pPr>
        <w:jc w:val="both"/>
        <w:rPr>
          <w:rFonts w:ascii="Arial" w:eastAsia="Arial" w:hAnsi="Arial" w:cs="Arial"/>
          <w:sz w:val="22"/>
          <w:szCs w:val="22"/>
        </w:rPr>
      </w:pPr>
    </w:p>
    <w:p w:rsidR="00574408" w:rsidRDefault="00E870D2">
      <w:pPr>
        <w:jc w:val="both"/>
        <w:rPr>
          <w:rFonts w:ascii="Arial" w:eastAsia="Arial" w:hAnsi="Arial" w:cs="Arial"/>
          <w:b/>
          <w:sz w:val="22"/>
          <w:szCs w:val="22"/>
        </w:rPr>
      </w:pPr>
      <w:r>
        <w:rPr>
          <w:rFonts w:ascii="Arial" w:eastAsia="Arial" w:hAnsi="Arial" w:cs="Arial"/>
          <w:b/>
          <w:sz w:val="22"/>
          <w:szCs w:val="22"/>
        </w:rPr>
        <w:t>UNIDAD ADMINISTRATIVA ESPECIAL DE AERONÁUTICA CIVIL (UAEAC)</w:t>
      </w:r>
    </w:p>
    <w:p w:rsidR="00574408" w:rsidRDefault="00574408">
      <w:pPr>
        <w:jc w:val="both"/>
        <w:rPr>
          <w:rFonts w:ascii="Arial" w:eastAsia="Arial" w:hAnsi="Arial" w:cs="Arial"/>
          <w:b/>
          <w:sz w:val="22"/>
          <w:szCs w:val="22"/>
        </w:rPr>
      </w:pPr>
    </w:p>
    <w:p w:rsidR="00574408" w:rsidRDefault="00E870D2">
      <w:pPr>
        <w:jc w:val="both"/>
        <w:rPr>
          <w:rFonts w:ascii="Arial" w:eastAsia="Arial" w:hAnsi="Arial" w:cs="Arial"/>
          <w:sz w:val="22"/>
          <w:szCs w:val="22"/>
        </w:rPr>
      </w:pPr>
      <w:r>
        <w:rPr>
          <w:rFonts w:ascii="Arial" w:eastAsia="Arial" w:hAnsi="Arial" w:cs="Arial"/>
          <w:sz w:val="22"/>
          <w:szCs w:val="22"/>
        </w:rPr>
        <w:t xml:space="preserve">El sector aéreo es pieza fundamental para el desarrollo económico y competitivo del país. Si la tendencia continúa, y las proyecciones de pasajeros se dan como la Aeronáutica Civil calcula, en 10 o 12 años se movilizarán en Colombia más de 94 millones de pasajeros, lo que nos plantea, a todas luces, enormes desafíos y grandes, muy grandes retos. </w:t>
      </w:r>
    </w:p>
    <w:p w:rsidR="001F6C8E" w:rsidRDefault="001F6C8E">
      <w:pPr>
        <w:jc w:val="both"/>
        <w:rPr>
          <w:rFonts w:ascii="Arial" w:eastAsia="Arial" w:hAnsi="Arial" w:cs="Arial"/>
          <w:sz w:val="22"/>
          <w:szCs w:val="22"/>
        </w:rPr>
      </w:pPr>
    </w:p>
    <w:p w:rsidR="00574408" w:rsidRDefault="00E870D2">
      <w:pPr>
        <w:jc w:val="both"/>
        <w:rPr>
          <w:rFonts w:ascii="Arial" w:eastAsia="Arial" w:hAnsi="Arial" w:cs="Arial"/>
          <w:sz w:val="22"/>
          <w:szCs w:val="22"/>
        </w:rPr>
      </w:pPr>
      <w:r>
        <w:rPr>
          <w:rFonts w:ascii="Arial" w:eastAsia="Arial" w:hAnsi="Arial" w:cs="Arial"/>
          <w:sz w:val="22"/>
          <w:szCs w:val="22"/>
        </w:rPr>
        <w:t>Para esto, se debe fortalecer las competencias de la Aeronáutica Civil para propiciar éste crecimiento</w:t>
      </w:r>
      <w:r w:rsidR="001F6C8E">
        <w:rPr>
          <w:rFonts w:ascii="Arial" w:eastAsia="Arial" w:hAnsi="Arial" w:cs="Arial"/>
          <w:sz w:val="22"/>
          <w:szCs w:val="22"/>
        </w:rPr>
        <w:t xml:space="preserve"> en los siguientes ejes estratégicos. </w:t>
      </w:r>
    </w:p>
    <w:p w:rsidR="00574408" w:rsidRDefault="00574408">
      <w:pPr>
        <w:rPr>
          <w:rFonts w:ascii="Arial" w:eastAsia="Arial" w:hAnsi="Arial" w:cs="Arial"/>
          <w:sz w:val="22"/>
          <w:szCs w:val="22"/>
        </w:rPr>
      </w:pPr>
    </w:p>
    <w:p w:rsidR="001F6C8E" w:rsidRDefault="00E870D2">
      <w:pPr>
        <w:jc w:val="both"/>
        <w:rPr>
          <w:rFonts w:ascii="Arial" w:eastAsia="Arial" w:hAnsi="Arial" w:cs="Arial"/>
          <w:sz w:val="22"/>
          <w:szCs w:val="22"/>
        </w:rPr>
      </w:pPr>
      <w:r>
        <w:rPr>
          <w:rFonts w:ascii="Arial" w:eastAsia="Arial" w:hAnsi="Arial" w:cs="Arial"/>
          <w:b/>
          <w:sz w:val="22"/>
          <w:szCs w:val="22"/>
        </w:rPr>
        <w:t xml:space="preserve">Líneas de Acción </w:t>
      </w:r>
      <w:r w:rsidRPr="001F6C8E">
        <w:rPr>
          <w:rFonts w:ascii="Arial" w:eastAsia="Arial" w:hAnsi="Arial" w:cs="Arial"/>
          <w:sz w:val="22"/>
          <w:szCs w:val="22"/>
        </w:rPr>
        <w:t>(ejes</w:t>
      </w:r>
      <w:r>
        <w:rPr>
          <w:rFonts w:ascii="Arial" w:eastAsia="Arial" w:hAnsi="Arial" w:cs="Arial"/>
          <w:sz w:val="22"/>
          <w:szCs w:val="22"/>
        </w:rPr>
        <w:t xml:space="preserve"> estratégicos)</w:t>
      </w:r>
    </w:p>
    <w:p w:rsidR="001F6C8E" w:rsidRDefault="001F6C8E">
      <w:pPr>
        <w:jc w:val="both"/>
        <w:rPr>
          <w:rFonts w:ascii="Arial" w:eastAsia="Arial" w:hAnsi="Arial" w:cs="Arial"/>
          <w:sz w:val="22"/>
          <w:szCs w:val="22"/>
        </w:rPr>
      </w:pPr>
    </w:p>
    <w:p w:rsidR="001F6C8E" w:rsidRDefault="001F6C8E" w:rsidP="001F6C8E">
      <w:pPr>
        <w:pStyle w:val="Prrafodelista"/>
        <w:numPr>
          <w:ilvl w:val="0"/>
          <w:numId w:val="1"/>
        </w:numPr>
        <w:jc w:val="both"/>
        <w:rPr>
          <w:rFonts w:ascii="Arial" w:eastAsia="Arial" w:hAnsi="Arial" w:cs="Arial"/>
        </w:rPr>
      </w:pPr>
      <w:r w:rsidRPr="001F6C8E">
        <w:rPr>
          <w:rFonts w:ascii="Arial" w:eastAsia="Arial" w:hAnsi="Arial" w:cs="Arial"/>
        </w:rPr>
        <w:t>Desarrollo d</w:t>
      </w:r>
      <w:r w:rsidR="00E870D2" w:rsidRPr="001F6C8E">
        <w:rPr>
          <w:rFonts w:ascii="Arial" w:eastAsia="Arial" w:hAnsi="Arial" w:cs="Arial"/>
        </w:rPr>
        <w:t xml:space="preserve">el Talento Humano en el Sector Aéreo, </w:t>
      </w:r>
    </w:p>
    <w:p w:rsidR="001F6C8E" w:rsidRDefault="00E870D2" w:rsidP="001F6C8E">
      <w:pPr>
        <w:pStyle w:val="Prrafodelista"/>
        <w:numPr>
          <w:ilvl w:val="0"/>
          <w:numId w:val="1"/>
        </w:numPr>
        <w:jc w:val="both"/>
        <w:rPr>
          <w:rFonts w:ascii="Arial" w:eastAsia="Arial" w:hAnsi="Arial" w:cs="Arial"/>
        </w:rPr>
      </w:pPr>
      <w:r w:rsidRPr="001F6C8E">
        <w:rPr>
          <w:rFonts w:ascii="Arial" w:eastAsia="Arial" w:hAnsi="Arial" w:cs="Arial"/>
        </w:rPr>
        <w:t>Seguridad Operacional y Seguridad de Aviación Civil,</w:t>
      </w:r>
    </w:p>
    <w:p w:rsidR="001F6C8E" w:rsidRDefault="00E870D2" w:rsidP="001F6C8E">
      <w:pPr>
        <w:pStyle w:val="Prrafodelista"/>
        <w:numPr>
          <w:ilvl w:val="0"/>
          <w:numId w:val="1"/>
        </w:numPr>
        <w:jc w:val="both"/>
        <w:rPr>
          <w:rFonts w:ascii="Arial" w:eastAsia="Arial" w:hAnsi="Arial" w:cs="Arial"/>
        </w:rPr>
      </w:pPr>
      <w:r w:rsidRPr="001F6C8E">
        <w:rPr>
          <w:rFonts w:ascii="Arial" w:eastAsia="Arial" w:hAnsi="Arial" w:cs="Arial"/>
        </w:rPr>
        <w:t xml:space="preserve">Competencias Institucionales, </w:t>
      </w:r>
    </w:p>
    <w:p w:rsidR="001F6C8E" w:rsidRDefault="00E870D2" w:rsidP="001F6C8E">
      <w:pPr>
        <w:pStyle w:val="Prrafodelista"/>
        <w:numPr>
          <w:ilvl w:val="0"/>
          <w:numId w:val="1"/>
        </w:numPr>
        <w:jc w:val="both"/>
        <w:rPr>
          <w:rFonts w:ascii="Arial" w:eastAsia="Arial" w:hAnsi="Arial" w:cs="Arial"/>
        </w:rPr>
      </w:pPr>
      <w:r w:rsidRPr="001F6C8E">
        <w:rPr>
          <w:rFonts w:ascii="Arial" w:eastAsia="Arial" w:hAnsi="Arial" w:cs="Arial"/>
        </w:rPr>
        <w:t>Infraestructura y Sostenibilidad Ambiental,</w:t>
      </w:r>
    </w:p>
    <w:p w:rsidR="001F6C8E" w:rsidRDefault="00E870D2" w:rsidP="001F6C8E">
      <w:pPr>
        <w:pStyle w:val="Prrafodelista"/>
        <w:numPr>
          <w:ilvl w:val="0"/>
          <w:numId w:val="1"/>
        </w:numPr>
        <w:jc w:val="both"/>
        <w:rPr>
          <w:rFonts w:ascii="Arial" w:eastAsia="Arial" w:hAnsi="Arial" w:cs="Arial"/>
        </w:rPr>
      </w:pPr>
      <w:r w:rsidRPr="001F6C8E">
        <w:rPr>
          <w:rFonts w:ascii="Arial" w:eastAsia="Arial" w:hAnsi="Arial" w:cs="Arial"/>
        </w:rPr>
        <w:t xml:space="preserve">Industria Aeronáutica </w:t>
      </w:r>
    </w:p>
    <w:p w:rsidR="00574408" w:rsidRPr="001F6C8E" w:rsidRDefault="00E870D2" w:rsidP="001F6C8E">
      <w:pPr>
        <w:pStyle w:val="Prrafodelista"/>
        <w:numPr>
          <w:ilvl w:val="0"/>
          <w:numId w:val="1"/>
        </w:numPr>
        <w:jc w:val="both"/>
        <w:rPr>
          <w:rFonts w:ascii="Arial" w:eastAsia="Arial" w:hAnsi="Arial" w:cs="Arial"/>
        </w:rPr>
      </w:pPr>
      <w:r w:rsidRPr="001F6C8E">
        <w:rPr>
          <w:rFonts w:ascii="Arial" w:eastAsia="Arial" w:hAnsi="Arial" w:cs="Arial"/>
        </w:rPr>
        <w:lastRenderedPageBreak/>
        <w:t xml:space="preserve">Cadena de Suministro. </w:t>
      </w:r>
    </w:p>
    <w:p w:rsidR="00574408" w:rsidRDefault="00E870D2">
      <w:pPr>
        <w:jc w:val="both"/>
        <w:rPr>
          <w:rFonts w:ascii="Arial" w:eastAsia="Arial" w:hAnsi="Arial" w:cs="Arial"/>
          <w:sz w:val="22"/>
          <w:szCs w:val="22"/>
        </w:rPr>
      </w:pPr>
      <w:r>
        <w:rPr>
          <w:rFonts w:ascii="Arial" w:eastAsia="Arial" w:hAnsi="Arial" w:cs="Arial"/>
          <w:sz w:val="22"/>
          <w:szCs w:val="22"/>
        </w:rPr>
        <w:t>Lo cual solo es posible con perfiles técnicos, pues se trata de una organización con una misión clara en el sentido de ser autoridad aeronáutica y prestadora de servicios</w:t>
      </w:r>
    </w:p>
    <w:p w:rsidR="00574408" w:rsidRDefault="00574408">
      <w:pPr>
        <w:jc w:val="both"/>
        <w:rPr>
          <w:rFonts w:ascii="Arial" w:eastAsia="Arial" w:hAnsi="Arial" w:cs="Arial"/>
          <w:b/>
          <w:color w:val="000000"/>
          <w:sz w:val="22"/>
          <w:szCs w:val="22"/>
        </w:rPr>
      </w:pPr>
    </w:p>
    <w:p w:rsidR="00574408" w:rsidRDefault="00E870D2">
      <w:pPr>
        <w:jc w:val="both"/>
        <w:rPr>
          <w:rFonts w:ascii="Arial" w:eastAsia="Arial" w:hAnsi="Arial" w:cs="Arial"/>
          <w:b/>
          <w:sz w:val="22"/>
          <w:szCs w:val="22"/>
        </w:rPr>
      </w:pPr>
      <w:r>
        <w:rPr>
          <w:rFonts w:ascii="Arial" w:eastAsia="Arial" w:hAnsi="Arial" w:cs="Arial"/>
          <w:b/>
          <w:color w:val="000000"/>
          <w:sz w:val="22"/>
          <w:szCs w:val="22"/>
        </w:rPr>
        <w:t>DEPARTAMENTO ADMINISTRATIVO PARA LA PROSPERIDAD SOCIAL</w:t>
      </w:r>
    </w:p>
    <w:p w:rsidR="00574408" w:rsidRDefault="00574408">
      <w:pPr>
        <w:jc w:val="both"/>
        <w:rPr>
          <w:rFonts w:ascii="Arial" w:eastAsia="Arial" w:hAnsi="Arial" w:cs="Arial"/>
          <w:sz w:val="22"/>
          <w:szCs w:val="22"/>
        </w:rPr>
      </w:pPr>
    </w:p>
    <w:p w:rsidR="00574408" w:rsidRDefault="00E870D2">
      <w:pPr>
        <w:jc w:val="both"/>
        <w:rPr>
          <w:rFonts w:ascii="Arial" w:eastAsia="Arial" w:hAnsi="Arial" w:cs="Arial"/>
          <w:color w:val="000000"/>
          <w:sz w:val="22"/>
          <w:szCs w:val="22"/>
        </w:rPr>
      </w:pPr>
      <w:r>
        <w:rPr>
          <w:rFonts w:ascii="Arial" w:eastAsia="Arial" w:hAnsi="Arial" w:cs="Arial"/>
          <w:color w:val="000000"/>
          <w:sz w:val="22"/>
          <w:szCs w:val="22"/>
        </w:rPr>
        <w:t>El Departamento Administrativo para la Prosperidad Social convocó un concurso de méritos en el año 2014 para proveer novecientos noventa y cuatro (994) cargos de carrera administrativa. Para lo cual la Comisión Nacional del Servicio Civil – CNSC y Prosperidad Social, realizaron conjuntamente la Convocatoria No. 320 de 2014 –DPS.</w:t>
      </w:r>
    </w:p>
    <w:p w:rsidR="00574408" w:rsidRDefault="00574408">
      <w:pPr>
        <w:jc w:val="both"/>
        <w:rPr>
          <w:rFonts w:ascii="Arial" w:eastAsia="Arial" w:hAnsi="Arial" w:cs="Arial"/>
          <w:color w:val="000000"/>
          <w:sz w:val="22"/>
          <w:szCs w:val="22"/>
        </w:rPr>
      </w:pPr>
    </w:p>
    <w:p w:rsidR="00574408" w:rsidRDefault="00E870D2">
      <w:pPr>
        <w:jc w:val="both"/>
        <w:rPr>
          <w:rFonts w:ascii="Arial" w:eastAsia="Arial" w:hAnsi="Arial" w:cs="Arial"/>
          <w:color w:val="000000"/>
          <w:sz w:val="22"/>
          <w:szCs w:val="22"/>
        </w:rPr>
      </w:pPr>
      <w:r>
        <w:rPr>
          <w:rFonts w:ascii="Arial" w:eastAsia="Arial" w:hAnsi="Arial" w:cs="Arial"/>
          <w:color w:val="000000"/>
          <w:sz w:val="22"/>
          <w:szCs w:val="22"/>
        </w:rPr>
        <w:t>Para la vigencia fiscal 2018, se deben proveer cuarenta y siete (47) cargos vacantes de la Convocatoria No. 320 de 2014 –DPS q</w:t>
      </w:r>
      <w:r w:rsidR="001F6C8E">
        <w:rPr>
          <w:rFonts w:ascii="Arial" w:eastAsia="Arial" w:hAnsi="Arial" w:cs="Arial"/>
          <w:color w:val="000000"/>
          <w:sz w:val="22"/>
          <w:szCs w:val="22"/>
        </w:rPr>
        <w:t>ue han sido aplazados, debido a</w:t>
      </w:r>
      <w:r>
        <w:rPr>
          <w:rFonts w:ascii="Arial" w:eastAsia="Arial" w:hAnsi="Arial" w:cs="Arial"/>
          <w:color w:val="000000"/>
          <w:sz w:val="22"/>
          <w:szCs w:val="22"/>
        </w:rPr>
        <w:t xml:space="preserve"> las restricciones previstas en el artículo 92 de la Ley 617 del 2000.</w:t>
      </w:r>
    </w:p>
    <w:p w:rsidR="00574408" w:rsidRDefault="00574408">
      <w:pPr>
        <w:jc w:val="both"/>
        <w:rPr>
          <w:rFonts w:ascii="Arial" w:eastAsia="Arial" w:hAnsi="Arial" w:cs="Arial"/>
          <w:sz w:val="22"/>
          <w:szCs w:val="22"/>
        </w:rPr>
      </w:pPr>
    </w:p>
    <w:p w:rsidR="00574408" w:rsidRDefault="00E870D2">
      <w:pPr>
        <w:jc w:val="both"/>
        <w:rPr>
          <w:rFonts w:ascii="Arial" w:eastAsia="Arial" w:hAnsi="Arial" w:cs="Arial"/>
          <w:color w:val="000000"/>
          <w:sz w:val="22"/>
          <w:szCs w:val="22"/>
        </w:rPr>
      </w:pPr>
      <w:r>
        <w:rPr>
          <w:rFonts w:ascii="Arial" w:eastAsia="Arial" w:hAnsi="Arial" w:cs="Arial"/>
          <w:color w:val="000000"/>
          <w:sz w:val="22"/>
          <w:szCs w:val="22"/>
        </w:rPr>
        <w:t>Se precisa que no es la creación de nuevos cargos dentro de la planta de personal del Departamento Administrativo para la Prosperidad Social, ya que son los cuarenta y siete (47) cargos que se encuentran sin presupuesto, dentro de los novecientos noventa y cuatro (994) cargos convocados a concurso.</w:t>
      </w:r>
    </w:p>
    <w:p w:rsidR="00574408" w:rsidRDefault="00574408">
      <w:pPr>
        <w:jc w:val="both"/>
        <w:rPr>
          <w:rFonts w:ascii="Arial" w:eastAsia="Arial" w:hAnsi="Arial" w:cs="Arial"/>
          <w:sz w:val="22"/>
          <w:szCs w:val="22"/>
        </w:rPr>
      </w:pPr>
    </w:p>
    <w:p w:rsidR="00574408" w:rsidRDefault="00E870D2">
      <w:pPr>
        <w:jc w:val="both"/>
        <w:rPr>
          <w:rFonts w:ascii="Arial" w:eastAsia="Arial" w:hAnsi="Arial" w:cs="Arial"/>
          <w:color w:val="000000"/>
          <w:sz w:val="22"/>
          <w:szCs w:val="22"/>
        </w:rPr>
      </w:pPr>
      <w:r>
        <w:rPr>
          <w:rFonts w:ascii="Arial" w:eastAsia="Arial" w:hAnsi="Arial" w:cs="Arial"/>
          <w:color w:val="000000"/>
          <w:sz w:val="22"/>
          <w:szCs w:val="22"/>
        </w:rPr>
        <w:t>La Comisión Nacional del Servicio Civil –CNSC instauró acción administrativa (Auto No. 20172020005214 del 05-05-2017) en contra del Director del Departamento Administrativo para la Prosperidad Social ante el incumplimiento en la aplicación de las normas de carrera administrativa debido al aplazamiento de los nombramientos en periodo de prueba de los elegibles que ganaron la plaza mediante el concurso de méritos, Convocatoria No. 320 de 2014 –DPS.</w:t>
      </w:r>
    </w:p>
    <w:p w:rsidR="00574408" w:rsidRDefault="00574408">
      <w:pPr>
        <w:jc w:val="both"/>
        <w:rPr>
          <w:rFonts w:ascii="Arial" w:eastAsia="Arial" w:hAnsi="Arial" w:cs="Arial"/>
          <w:sz w:val="22"/>
          <w:szCs w:val="22"/>
        </w:rPr>
      </w:pPr>
    </w:p>
    <w:p w:rsidR="00574408" w:rsidRDefault="00E870D2">
      <w:pPr>
        <w:jc w:val="both"/>
        <w:rPr>
          <w:rFonts w:ascii="Arial" w:eastAsia="Arial" w:hAnsi="Arial" w:cs="Arial"/>
          <w:sz w:val="22"/>
          <w:szCs w:val="22"/>
        </w:rPr>
      </w:pPr>
      <w:bookmarkStart w:id="1" w:name="_gjdgxs" w:colFirst="0" w:colLast="0"/>
      <w:bookmarkEnd w:id="1"/>
      <w:r>
        <w:rPr>
          <w:rFonts w:ascii="Arial" w:eastAsia="Arial" w:hAnsi="Arial" w:cs="Arial"/>
          <w:sz w:val="22"/>
          <w:szCs w:val="22"/>
        </w:rPr>
        <w:t xml:space="preserve">En atención a lo anterior, los suscribientes conciliadores, solicitamos a las plenarias del Senado de la República y de la Cámara de Representantes aprobar el </w:t>
      </w:r>
      <w:r>
        <w:rPr>
          <w:rFonts w:ascii="Arial" w:eastAsia="Arial" w:hAnsi="Arial" w:cs="Arial"/>
          <w:b/>
          <w:sz w:val="22"/>
          <w:szCs w:val="22"/>
        </w:rPr>
        <w:t>Proyecto de ley No</w:t>
      </w:r>
      <w:r>
        <w:rPr>
          <w:rFonts w:ascii="Arial" w:eastAsia="Arial" w:hAnsi="Arial" w:cs="Arial"/>
          <w:sz w:val="22"/>
          <w:szCs w:val="22"/>
        </w:rPr>
        <w:t xml:space="preserve"> </w:t>
      </w:r>
      <w:r>
        <w:rPr>
          <w:rFonts w:ascii="Arial" w:eastAsia="Arial" w:hAnsi="Arial" w:cs="Arial"/>
          <w:b/>
          <w:sz w:val="22"/>
          <w:szCs w:val="22"/>
        </w:rPr>
        <w:t xml:space="preserve">169 de 2017 Senado – 026 de 2017 Cámara” </w:t>
      </w:r>
      <w:r>
        <w:rPr>
          <w:rFonts w:ascii="Arial" w:eastAsia="Arial" w:hAnsi="Arial" w:cs="Arial"/>
          <w:sz w:val="22"/>
          <w:szCs w:val="22"/>
        </w:rPr>
        <w:t>conforme al texto aprobado por la Plenaria del Senado, el cu</w:t>
      </w:r>
      <w:r w:rsidR="001F6C8E">
        <w:rPr>
          <w:rFonts w:ascii="Arial" w:eastAsia="Arial" w:hAnsi="Arial" w:cs="Arial"/>
          <w:sz w:val="22"/>
          <w:szCs w:val="22"/>
        </w:rPr>
        <w:t>al se transcribe a continuación:</w:t>
      </w:r>
    </w:p>
    <w:p w:rsidR="00574408" w:rsidRDefault="00574408">
      <w:pPr>
        <w:jc w:val="both"/>
        <w:rPr>
          <w:rFonts w:ascii="Arial" w:eastAsia="Arial" w:hAnsi="Arial" w:cs="Arial"/>
          <w:sz w:val="22"/>
          <w:szCs w:val="22"/>
        </w:rPr>
      </w:pPr>
    </w:p>
    <w:p w:rsidR="00574408" w:rsidRDefault="00574408">
      <w:pPr>
        <w:jc w:val="both"/>
        <w:rPr>
          <w:rFonts w:ascii="Arial" w:eastAsia="Arial" w:hAnsi="Arial" w:cs="Arial"/>
          <w:sz w:val="22"/>
          <w:szCs w:val="22"/>
        </w:rPr>
      </w:pPr>
    </w:p>
    <w:p w:rsidR="001F6C8E" w:rsidRDefault="001F6C8E">
      <w:pPr>
        <w:jc w:val="center"/>
        <w:rPr>
          <w:rFonts w:ascii="Arial" w:eastAsia="Arial" w:hAnsi="Arial" w:cs="Arial"/>
          <w:b/>
          <w:sz w:val="22"/>
          <w:szCs w:val="22"/>
        </w:rPr>
      </w:pPr>
    </w:p>
    <w:p w:rsidR="001F6C8E" w:rsidRDefault="001F6C8E">
      <w:pPr>
        <w:jc w:val="center"/>
        <w:rPr>
          <w:rFonts w:ascii="Arial" w:eastAsia="Arial" w:hAnsi="Arial" w:cs="Arial"/>
          <w:b/>
          <w:sz w:val="22"/>
          <w:szCs w:val="22"/>
        </w:rPr>
      </w:pPr>
    </w:p>
    <w:p w:rsidR="001F6C8E" w:rsidRDefault="001F6C8E">
      <w:pPr>
        <w:jc w:val="center"/>
        <w:rPr>
          <w:rFonts w:ascii="Arial" w:eastAsia="Arial" w:hAnsi="Arial" w:cs="Arial"/>
          <w:b/>
          <w:sz w:val="22"/>
          <w:szCs w:val="22"/>
        </w:rPr>
      </w:pPr>
    </w:p>
    <w:p w:rsidR="001F6C8E" w:rsidRDefault="001F6C8E">
      <w:pPr>
        <w:jc w:val="center"/>
        <w:rPr>
          <w:rFonts w:ascii="Arial" w:eastAsia="Arial" w:hAnsi="Arial" w:cs="Arial"/>
          <w:b/>
          <w:sz w:val="22"/>
          <w:szCs w:val="22"/>
        </w:rPr>
      </w:pPr>
    </w:p>
    <w:p w:rsidR="001F6C8E" w:rsidRDefault="001F6C8E">
      <w:pPr>
        <w:jc w:val="center"/>
        <w:rPr>
          <w:rFonts w:ascii="Arial" w:eastAsia="Arial" w:hAnsi="Arial" w:cs="Arial"/>
          <w:b/>
          <w:sz w:val="22"/>
          <w:szCs w:val="22"/>
        </w:rPr>
      </w:pPr>
    </w:p>
    <w:p w:rsidR="001F6C8E" w:rsidRDefault="001F6C8E">
      <w:pPr>
        <w:jc w:val="center"/>
        <w:rPr>
          <w:rFonts w:ascii="Arial" w:eastAsia="Arial" w:hAnsi="Arial" w:cs="Arial"/>
          <w:b/>
          <w:sz w:val="22"/>
          <w:szCs w:val="22"/>
        </w:rPr>
      </w:pPr>
    </w:p>
    <w:p w:rsidR="001F6C8E" w:rsidRDefault="001F6C8E">
      <w:pPr>
        <w:jc w:val="center"/>
        <w:rPr>
          <w:rFonts w:ascii="Arial" w:eastAsia="Arial" w:hAnsi="Arial" w:cs="Arial"/>
          <w:b/>
          <w:sz w:val="22"/>
          <w:szCs w:val="22"/>
        </w:rPr>
      </w:pPr>
    </w:p>
    <w:p w:rsidR="001F6C8E" w:rsidRDefault="001F6C8E">
      <w:pPr>
        <w:jc w:val="center"/>
        <w:rPr>
          <w:rFonts w:ascii="Arial" w:eastAsia="Arial" w:hAnsi="Arial" w:cs="Arial"/>
          <w:b/>
          <w:sz w:val="22"/>
          <w:szCs w:val="22"/>
        </w:rPr>
      </w:pPr>
    </w:p>
    <w:p w:rsidR="001F6C8E" w:rsidRDefault="001F6C8E">
      <w:pPr>
        <w:jc w:val="center"/>
        <w:rPr>
          <w:rFonts w:ascii="Arial" w:eastAsia="Arial" w:hAnsi="Arial" w:cs="Arial"/>
          <w:b/>
          <w:sz w:val="22"/>
          <w:szCs w:val="22"/>
        </w:rPr>
      </w:pPr>
    </w:p>
    <w:p w:rsidR="001F6C8E" w:rsidRDefault="001F6C8E">
      <w:pPr>
        <w:jc w:val="center"/>
        <w:rPr>
          <w:rFonts w:ascii="Arial" w:eastAsia="Arial" w:hAnsi="Arial" w:cs="Arial"/>
          <w:b/>
          <w:sz w:val="22"/>
          <w:szCs w:val="22"/>
        </w:rPr>
      </w:pPr>
    </w:p>
    <w:p w:rsidR="001F6C8E" w:rsidRDefault="001F6C8E" w:rsidP="001F6C8E">
      <w:pPr>
        <w:jc w:val="center"/>
        <w:rPr>
          <w:rFonts w:ascii="Arial" w:eastAsia="Arial" w:hAnsi="Arial" w:cs="Arial"/>
          <w:b/>
          <w:sz w:val="22"/>
          <w:szCs w:val="22"/>
        </w:rPr>
      </w:pPr>
    </w:p>
    <w:p w:rsidR="001F6C8E" w:rsidRDefault="001F6C8E" w:rsidP="001F6C8E">
      <w:pPr>
        <w:jc w:val="center"/>
        <w:rPr>
          <w:rFonts w:ascii="Arial" w:eastAsia="Arial" w:hAnsi="Arial" w:cs="Arial"/>
          <w:b/>
          <w:sz w:val="22"/>
          <w:szCs w:val="22"/>
        </w:rPr>
      </w:pPr>
    </w:p>
    <w:p w:rsidR="001F6C8E" w:rsidRDefault="001F6C8E" w:rsidP="001F6C8E">
      <w:pPr>
        <w:jc w:val="center"/>
        <w:rPr>
          <w:rFonts w:ascii="Arial" w:eastAsia="Arial" w:hAnsi="Arial" w:cs="Arial"/>
          <w:b/>
          <w:sz w:val="22"/>
          <w:szCs w:val="22"/>
        </w:rPr>
      </w:pPr>
    </w:p>
    <w:p w:rsidR="004D3F0D" w:rsidRDefault="004D3F0D" w:rsidP="001F6C8E">
      <w:pPr>
        <w:jc w:val="center"/>
        <w:rPr>
          <w:rFonts w:ascii="Arial" w:eastAsia="Arial" w:hAnsi="Arial" w:cs="Arial"/>
          <w:b/>
          <w:sz w:val="22"/>
          <w:szCs w:val="22"/>
        </w:rPr>
      </w:pPr>
    </w:p>
    <w:p w:rsidR="004D3F0D" w:rsidRDefault="004D3F0D" w:rsidP="001F6C8E">
      <w:pPr>
        <w:jc w:val="center"/>
        <w:rPr>
          <w:rFonts w:ascii="Arial" w:eastAsia="Arial" w:hAnsi="Arial" w:cs="Arial"/>
          <w:b/>
          <w:sz w:val="22"/>
          <w:szCs w:val="22"/>
        </w:rPr>
      </w:pPr>
    </w:p>
    <w:p w:rsidR="004D3F0D" w:rsidRDefault="004D3F0D" w:rsidP="001F6C8E">
      <w:pPr>
        <w:jc w:val="center"/>
        <w:rPr>
          <w:rFonts w:ascii="Arial" w:eastAsia="Arial" w:hAnsi="Arial" w:cs="Arial"/>
          <w:b/>
          <w:sz w:val="22"/>
          <w:szCs w:val="22"/>
        </w:rPr>
      </w:pPr>
    </w:p>
    <w:p w:rsidR="001F6C8E" w:rsidRDefault="001F6C8E">
      <w:pPr>
        <w:jc w:val="center"/>
        <w:rPr>
          <w:rFonts w:ascii="Arial" w:eastAsia="Arial" w:hAnsi="Arial" w:cs="Arial"/>
          <w:b/>
          <w:sz w:val="22"/>
          <w:szCs w:val="22"/>
        </w:rPr>
      </w:pPr>
    </w:p>
    <w:p w:rsidR="00574408" w:rsidRDefault="00E870D2">
      <w:pPr>
        <w:jc w:val="center"/>
        <w:rPr>
          <w:rFonts w:ascii="Arial" w:eastAsia="Arial" w:hAnsi="Arial" w:cs="Arial"/>
          <w:b/>
          <w:sz w:val="22"/>
          <w:szCs w:val="22"/>
        </w:rPr>
      </w:pPr>
      <w:r>
        <w:rPr>
          <w:rFonts w:ascii="Arial" w:eastAsia="Arial" w:hAnsi="Arial" w:cs="Arial"/>
          <w:b/>
          <w:sz w:val="22"/>
          <w:szCs w:val="22"/>
        </w:rPr>
        <w:lastRenderedPageBreak/>
        <w:t>TEXTO CONCILIADO</w:t>
      </w:r>
    </w:p>
    <w:p w:rsidR="00574408" w:rsidRDefault="00574408">
      <w:pPr>
        <w:jc w:val="center"/>
        <w:rPr>
          <w:rFonts w:ascii="Arial" w:eastAsia="Arial" w:hAnsi="Arial" w:cs="Arial"/>
          <w:b/>
          <w:sz w:val="22"/>
          <w:szCs w:val="22"/>
        </w:rPr>
      </w:pPr>
    </w:p>
    <w:p w:rsidR="00574408" w:rsidRDefault="001F6C8E">
      <w:pPr>
        <w:jc w:val="both"/>
        <w:rPr>
          <w:rFonts w:ascii="Arial" w:eastAsia="Arial" w:hAnsi="Arial" w:cs="Arial"/>
          <w:b/>
          <w:sz w:val="22"/>
          <w:szCs w:val="22"/>
        </w:rPr>
      </w:pPr>
      <w:r>
        <w:rPr>
          <w:rFonts w:ascii="Arial" w:eastAsia="Arial" w:hAnsi="Arial" w:cs="Arial"/>
          <w:b/>
          <w:sz w:val="22"/>
          <w:szCs w:val="22"/>
        </w:rPr>
        <w:t>Proyecto de L</w:t>
      </w:r>
      <w:r w:rsidR="00E870D2">
        <w:rPr>
          <w:rFonts w:ascii="Arial" w:eastAsia="Arial" w:hAnsi="Arial" w:cs="Arial"/>
          <w:b/>
          <w:sz w:val="22"/>
          <w:szCs w:val="22"/>
        </w:rPr>
        <w:t>ey No</w:t>
      </w:r>
      <w:r w:rsidR="00E870D2">
        <w:rPr>
          <w:rFonts w:ascii="Arial" w:eastAsia="Arial" w:hAnsi="Arial" w:cs="Arial"/>
          <w:sz w:val="22"/>
          <w:szCs w:val="22"/>
        </w:rPr>
        <w:t xml:space="preserve"> </w:t>
      </w:r>
      <w:r w:rsidR="00E870D2">
        <w:rPr>
          <w:rFonts w:ascii="Arial" w:eastAsia="Arial" w:hAnsi="Arial" w:cs="Arial"/>
          <w:b/>
          <w:sz w:val="22"/>
          <w:szCs w:val="22"/>
        </w:rPr>
        <w:t>169 de 2017 Senado – 026 de 2017 Cámara “Por medio de la cual se exceptúa al Ministerio del Trabajo, al Instituto Nacional Penitenciario y Carcelario (INPEC), al Congreso de la República - Cámara de Representantes y Senado de la República, a la Unidad Administrativa Especial de Aeronáutica Civil (UAEAC) y al Departamento Administrativo para la Prosperidad Social (DPS), de lo dispuesto en el artículo 92 de la Ley 617 de 2000”</w:t>
      </w:r>
    </w:p>
    <w:p w:rsidR="00574408" w:rsidRDefault="00574408">
      <w:pPr>
        <w:pBdr>
          <w:top w:val="nil"/>
          <w:left w:val="nil"/>
          <w:bottom w:val="nil"/>
          <w:right w:val="nil"/>
          <w:between w:val="nil"/>
        </w:pBdr>
        <w:jc w:val="center"/>
        <w:rPr>
          <w:rFonts w:ascii="Arial" w:eastAsia="Arial" w:hAnsi="Arial" w:cs="Arial"/>
          <w:b/>
          <w:color w:val="000000"/>
          <w:sz w:val="22"/>
          <w:szCs w:val="22"/>
        </w:rPr>
      </w:pPr>
    </w:p>
    <w:p w:rsidR="00574408" w:rsidRDefault="00E870D2">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EL CONGRESO DE LA REPÚBLICA</w:t>
      </w:r>
    </w:p>
    <w:p w:rsidR="00574408" w:rsidRDefault="00574408">
      <w:pPr>
        <w:pBdr>
          <w:top w:val="nil"/>
          <w:left w:val="nil"/>
          <w:bottom w:val="nil"/>
          <w:right w:val="nil"/>
          <w:between w:val="nil"/>
        </w:pBdr>
        <w:jc w:val="center"/>
        <w:rPr>
          <w:rFonts w:ascii="Arial" w:eastAsia="Arial" w:hAnsi="Arial" w:cs="Arial"/>
          <w:b/>
          <w:color w:val="000000"/>
          <w:sz w:val="22"/>
          <w:szCs w:val="22"/>
        </w:rPr>
      </w:pPr>
    </w:p>
    <w:p w:rsidR="00574408" w:rsidRDefault="00E870D2">
      <w:pPr>
        <w:jc w:val="center"/>
        <w:rPr>
          <w:rFonts w:ascii="Arial" w:eastAsia="Arial" w:hAnsi="Arial" w:cs="Arial"/>
          <w:b/>
          <w:sz w:val="22"/>
          <w:szCs w:val="22"/>
        </w:rPr>
      </w:pPr>
      <w:r>
        <w:rPr>
          <w:rFonts w:ascii="Arial" w:eastAsia="Arial" w:hAnsi="Arial" w:cs="Arial"/>
          <w:b/>
          <w:sz w:val="22"/>
          <w:szCs w:val="22"/>
        </w:rPr>
        <w:t>DECRETA</w:t>
      </w:r>
    </w:p>
    <w:p w:rsidR="00574408" w:rsidRDefault="00574408">
      <w:pPr>
        <w:jc w:val="both"/>
        <w:rPr>
          <w:rFonts w:ascii="Arial" w:eastAsia="Arial" w:hAnsi="Arial" w:cs="Arial"/>
          <w:b/>
          <w:sz w:val="22"/>
          <w:szCs w:val="22"/>
        </w:rPr>
      </w:pPr>
    </w:p>
    <w:p w:rsidR="00574408" w:rsidRDefault="00E870D2">
      <w:pPr>
        <w:jc w:val="both"/>
        <w:rPr>
          <w:rFonts w:ascii="Arial" w:eastAsia="Arial" w:hAnsi="Arial" w:cs="Arial"/>
          <w:sz w:val="22"/>
          <w:szCs w:val="22"/>
        </w:rPr>
      </w:pPr>
      <w:r>
        <w:rPr>
          <w:rFonts w:ascii="Arial" w:eastAsia="Arial" w:hAnsi="Arial" w:cs="Arial"/>
          <w:b/>
          <w:sz w:val="22"/>
          <w:szCs w:val="22"/>
        </w:rPr>
        <w:t>Artículo 1°. Excepción de aplicación al Ministerio del Trabajo.</w:t>
      </w:r>
      <w:r>
        <w:rPr>
          <w:rFonts w:ascii="Arial" w:eastAsia="Arial" w:hAnsi="Arial" w:cs="Arial"/>
          <w:sz w:val="22"/>
          <w:szCs w:val="22"/>
        </w:rPr>
        <w:t xml:space="preserve"> Exceptúese al Ministerio del Trabajo de la aplicación de las restricciones previstas en el artículo 92 de la Ley 617 del 2000, en el crecimiento de los gastos de personal, para efectos de la modificación de su Planta de Personal, durante las vigencias fiscales 2018 y 2019. </w:t>
      </w:r>
    </w:p>
    <w:p w:rsidR="00574408" w:rsidRDefault="00574408">
      <w:pPr>
        <w:jc w:val="both"/>
        <w:rPr>
          <w:rFonts w:ascii="Arial" w:eastAsia="Arial" w:hAnsi="Arial" w:cs="Arial"/>
          <w:b/>
          <w:sz w:val="22"/>
          <w:szCs w:val="22"/>
        </w:rPr>
      </w:pPr>
    </w:p>
    <w:p w:rsidR="00574408" w:rsidRDefault="00E870D2">
      <w:pPr>
        <w:jc w:val="both"/>
        <w:rPr>
          <w:rFonts w:ascii="Arial" w:eastAsia="Arial" w:hAnsi="Arial" w:cs="Arial"/>
          <w:sz w:val="22"/>
          <w:szCs w:val="22"/>
        </w:rPr>
      </w:pPr>
      <w:r>
        <w:rPr>
          <w:rFonts w:ascii="Arial" w:eastAsia="Arial" w:hAnsi="Arial" w:cs="Arial"/>
          <w:b/>
          <w:sz w:val="22"/>
          <w:szCs w:val="22"/>
        </w:rPr>
        <w:t>Parágrafo</w:t>
      </w:r>
      <w:r>
        <w:rPr>
          <w:rFonts w:ascii="Arial" w:eastAsia="Arial" w:hAnsi="Arial" w:cs="Arial"/>
          <w:sz w:val="22"/>
          <w:szCs w:val="22"/>
        </w:rPr>
        <w:t>: Las modificaciones en la planta de personal del Ministerio del Trabajo que se deriven de la aplicación de la presente excepción, no implicarán un aumento en el número total de cargos de la planta existente.</w:t>
      </w:r>
    </w:p>
    <w:p w:rsidR="00574408" w:rsidRDefault="00574408">
      <w:pPr>
        <w:jc w:val="both"/>
        <w:rPr>
          <w:rFonts w:ascii="Arial" w:eastAsia="Arial" w:hAnsi="Arial" w:cs="Arial"/>
          <w:sz w:val="22"/>
          <w:szCs w:val="22"/>
        </w:rPr>
      </w:pPr>
    </w:p>
    <w:p w:rsidR="00574408" w:rsidRDefault="00E870D2">
      <w:pPr>
        <w:jc w:val="both"/>
        <w:rPr>
          <w:rFonts w:ascii="Arial" w:eastAsia="Arial" w:hAnsi="Arial" w:cs="Arial"/>
          <w:sz w:val="22"/>
          <w:szCs w:val="22"/>
        </w:rPr>
      </w:pPr>
      <w:r>
        <w:rPr>
          <w:rFonts w:ascii="Arial" w:eastAsia="Arial" w:hAnsi="Arial" w:cs="Arial"/>
          <w:b/>
          <w:sz w:val="22"/>
          <w:szCs w:val="22"/>
        </w:rPr>
        <w:t>Artículo 2°.</w:t>
      </w:r>
      <w:r>
        <w:rPr>
          <w:rFonts w:ascii="Arial" w:eastAsia="Arial" w:hAnsi="Arial" w:cs="Arial"/>
          <w:sz w:val="22"/>
          <w:szCs w:val="22"/>
        </w:rPr>
        <w:t xml:space="preserve"> </w:t>
      </w:r>
      <w:r>
        <w:rPr>
          <w:rFonts w:ascii="Arial" w:eastAsia="Arial" w:hAnsi="Arial" w:cs="Arial"/>
          <w:b/>
          <w:sz w:val="22"/>
          <w:szCs w:val="22"/>
        </w:rPr>
        <w:t>Excepción de aplicación al Instituto Nacional Penitenciario y Carcelario (INPEC).</w:t>
      </w:r>
      <w:r>
        <w:rPr>
          <w:rFonts w:ascii="Arial" w:eastAsia="Arial" w:hAnsi="Arial" w:cs="Arial"/>
          <w:sz w:val="22"/>
          <w:szCs w:val="22"/>
        </w:rPr>
        <w:t xml:space="preserve"> Exceptúese al Instituto Nacional Penitenciario y Carcelario (INPEC) de la aplicación de las restricciones previstas en el artículo 92 de la Ley 617 del 2000, en el crecimiento de los gastos de personal, para efectos de la modificación de su Planta de Personal, durante las vigencias fiscales 2019 y 2020. </w:t>
      </w:r>
    </w:p>
    <w:p w:rsidR="00574408" w:rsidRDefault="00574408">
      <w:pPr>
        <w:jc w:val="both"/>
        <w:rPr>
          <w:rFonts w:ascii="Arial" w:eastAsia="Arial" w:hAnsi="Arial" w:cs="Arial"/>
          <w:sz w:val="22"/>
          <w:szCs w:val="22"/>
        </w:rPr>
      </w:pPr>
    </w:p>
    <w:p w:rsidR="00574408" w:rsidRDefault="00E870D2">
      <w:pPr>
        <w:jc w:val="both"/>
        <w:rPr>
          <w:rFonts w:ascii="Arial" w:eastAsia="Arial" w:hAnsi="Arial" w:cs="Arial"/>
          <w:sz w:val="22"/>
          <w:szCs w:val="22"/>
        </w:rPr>
      </w:pPr>
      <w:r>
        <w:rPr>
          <w:rFonts w:ascii="Arial" w:eastAsia="Arial" w:hAnsi="Arial" w:cs="Arial"/>
          <w:b/>
          <w:sz w:val="22"/>
          <w:szCs w:val="22"/>
        </w:rPr>
        <w:t>Parágrafo.</w:t>
      </w:r>
      <w:r>
        <w:rPr>
          <w:rFonts w:ascii="Arial" w:eastAsia="Arial" w:hAnsi="Arial" w:cs="Arial"/>
          <w:sz w:val="22"/>
          <w:szCs w:val="22"/>
        </w:rPr>
        <w:t xml:space="preserve"> El Gobierno Nacional presentará al Congreso de la Republica, dentro del año siguiente a la publicación de la presente Ley, la propuesta de reforma de manejo carcelario del País y su estructura, teniendo en cuenta los lineamientos de Política Criminal.</w:t>
      </w:r>
    </w:p>
    <w:p w:rsidR="00574408" w:rsidRDefault="00574408">
      <w:pPr>
        <w:jc w:val="both"/>
        <w:rPr>
          <w:rFonts w:ascii="Arial" w:eastAsia="Arial" w:hAnsi="Arial" w:cs="Arial"/>
          <w:sz w:val="22"/>
          <w:szCs w:val="22"/>
        </w:rPr>
      </w:pPr>
    </w:p>
    <w:p w:rsidR="00574408" w:rsidRDefault="00E870D2">
      <w:pPr>
        <w:jc w:val="both"/>
        <w:rPr>
          <w:rFonts w:ascii="Arial" w:eastAsia="Arial" w:hAnsi="Arial" w:cs="Arial"/>
          <w:sz w:val="22"/>
          <w:szCs w:val="22"/>
        </w:rPr>
      </w:pPr>
      <w:r>
        <w:rPr>
          <w:rFonts w:ascii="Arial" w:eastAsia="Arial" w:hAnsi="Arial" w:cs="Arial"/>
          <w:b/>
          <w:sz w:val="22"/>
          <w:szCs w:val="22"/>
        </w:rPr>
        <w:t>Artículo 3°.</w:t>
      </w:r>
      <w:r>
        <w:rPr>
          <w:rFonts w:ascii="Arial" w:eastAsia="Arial" w:hAnsi="Arial" w:cs="Arial"/>
          <w:sz w:val="22"/>
          <w:szCs w:val="22"/>
        </w:rPr>
        <w:t xml:space="preserve"> </w:t>
      </w:r>
      <w:r>
        <w:rPr>
          <w:rFonts w:ascii="Arial" w:eastAsia="Arial" w:hAnsi="Arial" w:cs="Arial"/>
          <w:b/>
          <w:sz w:val="22"/>
          <w:szCs w:val="22"/>
        </w:rPr>
        <w:t>Excepción de aplicación al Congreso de la República Cámara de Representantes y Senado de la República</w:t>
      </w:r>
      <w:r>
        <w:rPr>
          <w:rFonts w:ascii="Arial" w:eastAsia="Arial" w:hAnsi="Arial" w:cs="Arial"/>
          <w:sz w:val="22"/>
          <w:szCs w:val="22"/>
        </w:rPr>
        <w:t>. Exceptúese al Congreso de la República Cámara de Representantes y Senado de la República, de la aplicación de las restricciones previstas en el artículo 92 de la Ley 617 del 2000, en el crecimiento de los gastos de personal, única y exclusivamente, para efectos de la nivelación salarial de la nómina de los funcionarios de planta que no estén vinculados a las Unidades de Trabajo Legislativo en aplicación de lo dispuesto en el artículo 133 de la Ley 1815 de 2016, durante las vigencias fiscales a partir del 2018 hasta el año 2022. Las Direcciones Administrativas del Senado de la República y Cámara de Representantes serán las encargadas de adelantar los trámites de cumplimiento de este artículo y quedaran a cargo de sus respectivas plantas de personal.</w:t>
      </w:r>
    </w:p>
    <w:p w:rsidR="00574408" w:rsidRDefault="00574408">
      <w:pPr>
        <w:jc w:val="both"/>
        <w:rPr>
          <w:rFonts w:ascii="Arial" w:eastAsia="Arial" w:hAnsi="Arial" w:cs="Arial"/>
          <w:sz w:val="22"/>
          <w:szCs w:val="22"/>
        </w:rPr>
      </w:pPr>
    </w:p>
    <w:p w:rsidR="00574408" w:rsidRDefault="00E870D2">
      <w:pPr>
        <w:jc w:val="both"/>
        <w:rPr>
          <w:rFonts w:ascii="Arial" w:eastAsia="Arial" w:hAnsi="Arial" w:cs="Arial"/>
          <w:sz w:val="22"/>
          <w:szCs w:val="22"/>
        </w:rPr>
      </w:pPr>
      <w:r>
        <w:rPr>
          <w:rFonts w:ascii="Arial" w:eastAsia="Arial" w:hAnsi="Arial" w:cs="Arial"/>
          <w:b/>
          <w:sz w:val="22"/>
          <w:szCs w:val="22"/>
        </w:rPr>
        <w:t>Artículo 4°.</w:t>
      </w:r>
      <w:r>
        <w:rPr>
          <w:rFonts w:ascii="Arial" w:eastAsia="Arial" w:hAnsi="Arial" w:cs="Arial"/>
          <w:sz w:val="22"/>
          <w:szCs w:val="22"/>
        </w:rPr>
        <w:t xml:space="preserve"> </w:t>
      </w:r>
      <w:r>
        <w:rPr>
          <w:rFonts w:ascii="Arial" w:eastAsia="Arial" w:hAnsi="Arial" w:cs="Arial"/>
          <w:b/>
          <w:sz w:val="22"/>
          <w:szCs w:val="22"/>
        </w:rPr>
        <w:t>Excepción de aplicación a la Unidad Administrativa Especial de Aeronáutica Civil (UAEAC).</w:t>
      </w:r>
      <w:r>
        <w:rPr>
          <w:rFonts w:ascii="Arial" w:eastAsia="Arial" w:hAnsi="Arial" w:cs="Arial"/>
          <w:sz w:val="22"/>
          <w:szCs w:val="22"/>
        </w:rPr>
        <w:t xml:space="preserve"> Exceptúese a la Unidad Administrativa Especial de Aeronáutica Civil (UAEAC) de las restricciones previstas en el artículo 92 de la Ley 617 de 2000 en el crecimiento de los gastos de personal durante las vigencias fiscales 2018 – 2019. </w:t>
      </w:r>
    </w:p>
    <w:p w:rsidR="00574408" w:rsidRDefault="00574408">
      <w:pPr>
        <w:jc w:val="both"/>
        <w:rPr>
          <w:rFonts w:ascii="Arial" w:eastAsia="Arial" w:hAnsi="Arial" w:cs="Arial"/>
          <w:sz w:val="22"/>
          <w:szCs w:val="22"/>
        </w:rPr>
      </w:pPr>
    </w:p>
    <w:p w:rsidR="00574408" w:rsidRDefault="00E870D2">
      <w:pPr>
        <w:jc w:val="both"/>
        <w:rPr>
          <w:rFonts w:ascii="Arial" w:eastAsia="Arial" w:hAnsi="Arial" w:cs="Arial"/>
          <w:sz w:val="22"/>
          <w:szCs w:val="22"/>
        </w:rPr>
      </w:pPr>
      <w:r>
        <w:rPr>
          <w:rFonts w:ascii="Arial" w:eastAsia="Arial" w:hAnsi="Arial" w:cs="Arial"/>
          <w:b/>
          <w:sz w:val="22"/>
          <w:szCs w:val="22"/>
        </w:rPr>
        <w:t>Parágrafo:</w:t>
      </w:r>
      <w:r>
        <w:rPr>
          <w:rFonts w:ascii="Arial" w:eastAsia="Arial" w:hAnsi="Arial" w:cs="Arial"/>
          <w:sz w:val="22"/>
          <w:szCs w:val="22"/>
        </w:rPr>
        <w:t xml:space="preserve"> Las modificaciones en la planta de personal de la Unidad Administrativa Especial de Aeronáutica Civil (UAEAC) que se deriven de la aplicación de la presente </w:t>
      </w:r>
      <w:r>
        <w:rPr>
          <w:rFonts w:ascii="Arial" w:eastAsia="Arial" w:hAnsi="Arial" w:cs="Arial"/>
          <w:sz w:val="22"/>
          <w:szCs w:val="22"/>
        </w:rPr>
        <w:lastRenderedPageBreak/>
        <w:t>excepción, no implicarán un aumento en el número total de cargos de la planta legal existente.</w:t>
      </w:r>
    </w:p>
    <w:p w:rsidR="00574408" w:rsidRDefault="00574408">
      <w:pPr>
        <w:jc w:val="both"/>
        <w:rPr>
          <w:rFonts w:ascii="Arial" w:eastAsia="Arial" w:hAnsi="Arial" w:cs="Arial"/>
          <w:sz w:val="22"/>
          <w:szCs w:val="22"/>
        </w:rPr>
      </w:pPr>
    </w:p>
    <w:p w:rsidR="00574408" w:rsidRDefault="00E870D2">
      <w:pPr>
        <w:jc w:val="both"/>
        <w:rPr>
          <w:rFonts w:ascii="Arial" w:eastAsia="Arial" w:hAnsi="Arial" w:cs="Arial"/>
          <w:sz w:val="22"/>
          <w:szCs w:val="22"/>
        </w:rPr>
      </w:pPr>
      <w:r>
        <w:rPr>
          <w:rFonts w:ascii="Arial" w:eastAsia="Arial" w:hAnsi="Arial" w:cs="Arial"/>
          <w:b/>
          <w:sz w:val="22"/>
          <w:szCs w:val="22"/>
        </w:rPr>
        <w:t>Artículo 5°.</w:t>
      </w:r>
      <w:r>
        <w:rPr>
          <w:rFonts w:ascii="Arial" w:eastAsia="Arial" w:hAnsi="Arial" w:cs="Arial"/>
          <w:sz w:val="22"/>
          <w:szCs w:val="22"/>
        </w:rPr>
        <w:t xml:space="preserve"> </w:t>
      </w:r>
      <w:r>
        <w:rPr>
          <w:rFonts w:ascii="Arial" w:eastAsia="Arial" w:hAnsi="Arial" w:cs="Arial"/>
          <w:b/>
          <w:sz w:val="22"/>
          <w:szCs w:val="22"/>
        </w:rPr>
        <w:t>Excepción de aplicación al Departamento Administrativo para la Prosperidad Social (DPS).</w:t>
      </w:r>
      <w:r>
        <w:rPr>
          <w:rFonts w:ascii="Arial" w:eastAsia="Arial" w:hAnsi="Arial" w:cs="Arial"/>
          <w:sz w:val="22"/>
          <w:szCs w:val="22"/>
        </w:rPr>
        <w:t xml:space="preserve"> Exceptúese al Departamento Administrativo para la Prosperidad Social (DPS) de la aplicación de las restricciones previstas en el artículo 92 de la Ley 617 del 2000, en el crecimiento de los gastos de personal, durante la vigencia fiscal 2018 - 2019 para efectos de la provisión de empleos del concurso de méritos adelantado por la Entidad mediante la convocatoria 320 de 2014 – DPS.</w:t>
      </w:r>
    </w:p>
    <w:p w:rsidR="00574408" w:rsidRDefault="00574408">
      <w:pPr>
        <w:jc w:val="both"/>
        <w:rPr>
          <w:rFonts w:ascii="Arial" w:eastAsia="Arial" w:hAnsi="Arial" w:cs="Arial"/>
          <w:sz w:val="22"/>
          <w:szCs w:val="22"/>
        </w:rPr>
      </w:pPr>
    </w:p>
    <w:p w:rsidR="00574408" w:rsidRDefault="00E870D2">
      <w:pPr>
        <w:jc w:val="both"/>
        <w:rPr>
          <w:rFonts w:ascii="Arial" w:eastAsia="Arial" w:hAnsi="Arial" w:cs="Arial"/>
          <w:sz w:val="22"/>
          <w:szCs w:val="22"/>
        </w:rPr>
      </w:pPr>
      <w:r>
        <w:rPr>
          <w:rFonts w:ascii="Arial" w:eastAsia="Arial" w:hAnsi="Arial" w:cs="Arial"/>
          <w:b/>
          <w:sz w:val="22"/>
          <w:szCs w:val="22"/>
        </w:rPr>
        <w:t>Artículo 6º:</w:t>
      </w:r>
      <w:r>
        <w:rPr>
          <w:rFonts w:ascii="Arial" w:eastAsia="Arial" w:hAnsi="Arial" w:cs="Arial"/>
          <w:sz w:val="22"/>
          <w:szCs w:val="22"/>
        </w:rPr>
        <w:t xml:space="preserve"> El Gobierno Nacional hará las supresiones de gastos recurrentes que ayuden a compensar las erogaciones que esta Ley contempla.</w:t>
      </w:r>
    </w:p>
    <w:p w:rsidR="00574408" w:rsidRDefault="00574408">
      <w:pPr>
        <w:rPr>
          <w:rFonts w:ascii="Arial" w:eastAsia="Arial" w:hAnsi="Arial" w:cs="Arial"/>
          <w:sz w:val="22"/>
          <w:szCs w:val="22"/>
        </w:rPr>
      </w:pPr>
    </w:p>
    <w:p w:rsidR="00574408" w:rsidRDefault="00E870D2">
      <w:pPr>
        <w:jc w:val="both"/>
        <w:rPr>
          <w:rFonts w:ascii="Arial" w:eastAsia="Arial" w:hAnsi="Arial" w:cs="Arial"/>
          <w:sz w:val="22"/>
          <w:szCs w:val="22"/>
        </w:rPr>
      </w:pPr>
      <w:r>
        <w:rPr>
          <w:rFonts w:ascii="Arial" w:eastAsia="Arial" w:hAnsi="Arial" w:cs="Arial"/>
          <w:b/>
          <w:sz w:val="22"/>
          <w:szCs w:val="22"/>
        </w:rPr>
        <w:t>Artículo 7°.</w:t>
      </w:r>
      <w:r>
        <w:rPr>
          <w:rFonts w:ascii="Arial" w:eastAsia="Arial" w:hAnsi="Arial" w:cs="Arial"/>
          <w:sz w:val="22"/>
          <w:szCs w:val="22"/>
        </w:rPr>
        <w:t xml:space="preserve"> </w:t>
      </w:r>
      <w:r>
        <w:rPr>
          <w:rFonts w:ascii="Arial" w:eastAsia="Arial" w:hAnsi="Arial" w:cs="Arial"/>
          <w:b/>
          <w:sz w:val="22"/>
          <w:szCs w:val="22"/>
        </w:rPr>
        <w:t>Vigencia y derogatoria.</w:t>
      </w:r>
      <w:r>
        <w:rPr>
          <w:rFonts w:ascii="Arial" w:eastAsia="Arial" w:hAnsi="Arial" w:cs="Arial"/>
          <w:sz w:val="22"/>
          <w:szCs w:val="22"/>
        </w:rPr>
        <w:t xml:space="preserve"> La presente rige a partir de su promulgación y deroga todas las disposiciones que le sean contrarias.</w:t>
      </w:r>
    </w:p>
    <w:p w:rsidR="00574408" w:rsidRDefault="00574408">
      <w:pPr>
        <w:rPr>
          <w:rFonts w:ascii="Arial" w:eastAsia="Arial" w:hAnsi="Arial" w:cs="Arial"/>
          <w:sz w:val="22"/>
          <w:szCs w:val="22"/>
        </w:rPr>
      </w:pPr>
    </w:p>
    <w:p w:rsidR="00574408" w:rsidRDefault="00574408">
      <w:pPr>
        <w:rPr>
          <w:rFonts w:ascii="Arial" w:eastAsia="Arial" w:hAnsi="Arial" w:cs="Arial"/>
          <w:sz w:val="22"/>
          <w:szCs w:val="22"/>
        </w:rPr>
      </w:pPr>
    </w:p>
    <w:p w:rsidR="00574408" w:rsidRDefault="00E870D2">
      <w:pPr>
        <w:rPr>
          <w:rFonts w:ascii="Arial" w:eastAsia="Arial" w:hAnsi="Arial" w:cs="Arial"/>
          <w:sz w:val="22"/>
          <w:szCs w:val="22"/>
        </w:rPr>
      </w:pPr>
      <w:r>
        <w:rPr>
          <w:rFonts w:ascii="Arial" w:eastAsia="Arial" w:hAnsi="Arial" w:cs="Arial"/>
          <w:sz w:val="22"/>
          <w:szCs w:val="22"/>
        </w:rPr>
        <w:t xml:space="preserve">Cordialmente, </w:t>
      </w:r>
    </w:p>
    <w:p w:rsidR="00574408" w:rsidRDefault="00574408">
      <w:pPr>
        <w:rPr>
          <w:rFonts w:ascii="Arial" w:eastAsia="Arial" w:hAnsi="Arial" w:cs="Arial"/>
          <w:sz w:val="22"/>
          <w:szCs w:val="22"/>
        </w:rPr>
      </w:pPr>
    </w:p>
    <w:p w:rsidR="00574408" w:rsidRDefault="00574408">
      <w:pPr>
        <w:rPr>
          <w:rFonts w:ascii="Arial" w:eastAsia="Arial" w:hAnsi="Arial" w:cs="Arial"/>
          <w:sz w:val="22"/>
          <w:szCs w:val="22"/>
        </w:rPr>
      </w:pPr>
    </w:p>
    <w:p w:rsidR="00574408" w:rsidRDefault="00574408">
      <w:pPr>
        <w:rPr>
          <w:rFonts w:ascii="Arial" w:eastAsia="Arial" w:hAnsi="Arial" w:cs="Arial"/>
          <w:sz w:val="22"/>
          <w:szCs w:val="22"/>
        </w:rPr>
      </w:pPr>
    </w:p>
    <w:p w:rsidR="00574408" w:rsidRDefault="00574408">
      <w:pPr>
        <w:rPr>
          <w:rFonts w:ascii="Arial" w:eastAsia="Arial" w:hAnsi="Arial" w:cs="Arial"/>
          <w:sz w:val="22"/>
          <w:szCs w:val="22"/>
        </w:rPr>
      </w:pPr>
    </w:p>
    <w:p w:rsidR="00574408" w:rsidRDefault="00574408">
      <w:pPr>
        <w:rPr>
          <w:rFonts w:ascii="Arial" w:eastAsia="Arial" w:hAnsi="Arial" w:cs="Arial"/>
          <w:sz w:val="22"/>
          <w:szCs w:val="22"/>
        </w:rPr>
      </w:pPr>
    </w:p>
    <w:tbl>
      <w:tblPr>
        <w:tblStyle w:val="a"/>
        <w:tblW w:w="897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89"/>
        <w:gridCol w:w="4489"/>
      </w:tblGrid>
      <w:tr w:rsidR="00574408">
        <w:tc>
          <w:tcPr>
            <w:tcW w:w="4489" w:type="dxa"/>
          </w:tcPr>
          <w:p w:rsidR="00574408" w:rsidRDefault="00574408">
            <w:pPr>
              <w:rPr>
                <w:rFonts w:ascii="Arial" w:eastAsia="Arial" w:hAnsi="Arial" w:cs="Arial"/>
                <w:b/>
                <w:sz w:val="22"/>
                <w:szCs w:val="22"/>
              </w:rPr>
            </w:pPr>
          </w:p>
          <w:p w:rsidR="00574408" w:rsidRDefault="00E870D2">
            <w:pPr>
              <w:rPr>
                <w:rFonts w:ascii="Arial" w:eastAsia="Arial" w:hAnsi="Arial" w:cs="Arial"/>
                <w:b/>
                <w:sz w:val="22"/>
                <w:szCs w:val="22"/>
              </w:rPr>
            </w:pPr>
            <w:r>
              <w:rPr>
                <w:rFonts w:ascii="Arial" w:eastAsia="Arial" w:hAnsi="Arial" w:cs="Arial"/>
                <w:b/>
                <w:sz w:val="22"/>
                <w:szCs w:val="22"/>
              </w:rPr>
              <w:t>MANUEL ENRÍQUEZ ROSERO</w:t>
            </w:r>
          </w:p>
          <w:p w:rsidR="00574408" w:rsidRDefault="00E870D2">
            <w:pPr>
              <w:rPr>
                <w:rFonts w:ascii="Arial" w:eastAsia="Arial" w:hAnsi="Arial" w:cs="Arial"/>
                <w:sz w:val="22"/>
                <w:szCs w:val="22"/>
              </w:rPr>
            </w:pPr>
            <w:r>
              <w:rPr>
                <w:rFonts w:ascii="Arial" w:eastAsia="Arial" w:hAnsi="Arial" w:cs="Arial"/>
                <w:sz w:val="22"/>
                <w:szCs w:val="22"/>
              </w:rPr>
              <w:t>Senador de la República</w:t>
            </w:r>
          </w:p>
        </w:tc>
        <w:tc>
          <w:tcPr>
            <w:tcW w:w="4489" w:type="dxa"/>
          </w:tcPr>
          <w:p w:rsidR="00574408" w:rsidRDefault="00574408">
            <w:pPr>
              <w:rPr>
                <w:rFonts w:ascii="Arial" w:eastAsia="Arial" w:hAnsi="Arial" w:cs="Arial"/>
                <w:sz w:val="22"/>
                <w:szCs w:val="22"/>
              </w:rPr>
            </w:pPr>
          </w:p>
          <w:p w:rsidR="00574408" w:rsidRDefault="00E870D2">
            <w:pPr>
              <w:rPr>
                <w:rFonts w:ascii="Arial" w:eastAsia="Arial" w:hAnsi="Arial" w:cs="Arial"/>
                <w:b/>
                <w:sz w:val="22"/>
                <w:szCs w:val="22"/>
              </w:rPr>
            </w:pPr>
            <w:r>
              <w:rPr>
                <w:rFonts w:ascii="Arial" w:eastAsia="Arial" w:hAnsi="Arial" w:cs="Arial"/>
                <w:b/>
                <w:sz w:val="22"/>
                <w:szCs w:val="22"/>
              </w:rPr>
              <w:t>HARRY GONZALEZ GARCIA</w:t>
            </w:r>
          </w:p>
          <w:p w:rsidR="00574408" w:rsidRDefault="00E870D2">
            <w:pPr>
              <w:rPr>
                <w:rFonts w:ascii="Arial" w:eastAsia="Arial" w:hAnsi="Arial" w:cs="Arial"/>
                <w:sz w:val="22"/>
                <w:szCs w:val="22"/>
              </w:rPr>
            </w:pPr>
            <w:r>
              <w:rPr>
                <w:rFonts w:ascii="Arial" w:eastAsia="Arial" w:hAnsi="Arial" w:cs="Arial"/>
                <w:sz w:val="22"/>
                <w:szCs w:val="22"/>
              </w:rPr>
              <w:t>Representante a la Cámara</w:t>
            </w:r>
          </w:p>
          <w:p w:rsidR="00574408" w:rsidRDefault="00574408">
            <w:pPr>
              <w:rPr>
                <w:rFonts w:ascii="Arial" w:eastAsia="Arial" w:hAnsi="Arial" w:cs="Arial"/>
                <w:sz w:val="22"/>
                <w:szCs w:val="22"/>
              </w:rPr>
            </w:pPr>
          </w:p>
        </w:tc>
      </w:tr>
      <w:tr w:rsidR="00574408">
        <w:tc>
          <w:tcPr>
            <w:tcW w:w="4489" w:type="dxa"/>
          </w:tcPr>
          <w:p w:rsidR="00574408" w:rsidRDefault="00574408">
            <w:pPr>
              <w:rPr>
                <w:rFonts w:ascii="Arial" w:eastAsia="Arial" w:hAnsi="Arial" w:cs="Arial"/>
                <w:sz w:val="22"/>
                <w:szCs w:val="22"/>
              </w:rPr>
            </w:pPr>
          </w:p>
          <w:p w:rsidR="00574408" w:rsidRDefault="00574408">
            <w:pPr>
              <w:rPr>
                <w:rFonts w:ascii="Arial" w:eastAsia="Arial" w:hAnsi="Arial" w:cs="Arial"/>
                <w:sz w:val="22"/>
                <w:szCs w:val="22"/>
              </w:rPr>
            </w:pPr>
          </w:p>
          <w:p w:rsidR="00574408" w:rsidRDefault="00574408">
            <w:pPr>
              <w:rPr>
                <w:rFonts w:ascii="Arial" w:eastAsia="Arial" w:hAnsi="Arial" w:cs="Arial"/>
                <w:sz w:val="22"/>
                <w:szCs w:val="22"/>
              </w:rPr>
            </w:pPr>
          </w:p>
          <w:p w:rsidR="00574408" w:rsidRDefault="00574408">
            <w:pPr>
              <w:rPr>
                <w:rFonts w:ascii="Arial" w:eastAsia="Arial" w:hAnsi="Arial" w:cs="Arial"/>
                <w:sz w:val="22"/>
                <w:szCs w:val="22"/>
              </w:rPr>
            </w:pPr>
          </w:p>
          <w:p w:rsidR="00574408" w:rsidRDefault="00574408">
            <w:pPr>
              <w:rPr>
                <w:rFonts w:ascii="Arial" w:eastAsia="Arial" w:hAnsi="Arial" w:cs="Arial"/>
                <w:sz w:val="22"/>
                <w:szCs w:val="22"/>
              </w:rPr>
            </w:pPr>
          </w:p>
          <w:p w:rsidR="00574408" w:rsidRDefault="00E870D2">
            <w:pPr>
              <w:rPr>
                <w:rFonts w:ascii="Arial" w:eastAsia="Arial" w:hAnsi="Arial" w:cs="Arial"/>
                <w:b/>
                <w:sz w:val="22"/>
                <w:szCs w:val="22"/>
              </w:rPr>
            </w:pPr>
            <w:r>
              <w:rPr>
                <w:rFonts w:ascii="Arial" w:eastAsia="Arial" w:hAnsi="Arial" w:cs="Arial"/>
                <w:b/>
                <w:sz w:val="22"/>
                <w:szCs w:val="22"/>
              </w:rPr>
              <w:t>EFRAIN CEPEDA SARABIA</w:t>
            </w:r>
          </w:p>
          <w:p w:rsidR="00574408" w:rsidRDefault="00E870D2">
            <w:pPr>
              <w:rPr>
                <w:rFonts w:ascii="Arial" w:eastAsia="Arial" w:hAnsi="Arial" w:cs="Arial"/>
                <w:sz w:val="22"/>
                <w:szCs w:val="22"/>
              </w:rPr>
            </w:pPr>
            <w:r>
              <w:rPr>
                <w:rFonts w:ascii="Arial" w:eastAsia="Arial" w:hAnsi="Arial" w:cs="Arial"/>
                <w:sz w:val="22"/>
                <w:szCs w:val="22"/>
              </w:rPr>
              <w:t>Senador de la República</w:t>
            </w:r>
          </w:p>
          <w:p w:rsidR="00574408" w:rsidRDefault="00574408">
            <w:pPr>
              <w:rPr>
                <w:rFonts w:ascii="Arial" w:eastAsia="Arial" w:hAnsi="Arial" w:cs="Arial"/>
                <w:sz w:val="22"/>
                <w:szCs w:val="22"/>
              </w:rPr>
            </w:pPr>
          </w:p>
        </w:tc>
        <w:tc>
          <w:tcPr>
            <w:tcW w:w="4489" w:type="dxa"/>
          </w:tcPr>
          <w:p w:rsidR="00574408" w:rsidRDefault="00574408">
            <w:pPr>
              <w:rPr>
                <w:rFonts w:ascii="Arial" w:eastAsia="Arial" w:hAnsi="Arial" w:cs="Arial"/>
                <w:sz w:val="22"/>
                <w:szCs w:val="22"/>
              </w:rPr>
            </w:pPr>
          </w:p>
          <w:p w:rsidR="00574408" w:rsidRDefault="00574408">
            <w:pPr>
              <w:rPr>
                <w:rFonts w:ascii="Arial" w:eastAsia="Arial" w:hAnsi="Arial" w:cs="Arial"/>
                <w:sz w:val="22"/>
                <w:szCs w:val="22"/>
              </w:rPr>
            </w:pPr>
          </w:p>
          <w:p w:rsidR="00574408" w:rsidRDefault="00574408">
            <w:pPr>
              <w:rPr>
                <w:rFonts w:ascii="Arial" w:eastAsia="Arial" w:hAnsi="Arial" w:cs="Arial"/>
                <w:sz w:val="22"/>
                <w:szCs w:val="22"/>
              </w:rPr>
            </w:pPr>
          </w:p>
          <w:p w:rsidR="00574408" w:rsidRDefault="00574408">
            <w:pPr>
              <w:rPr>
                <w:rFonts w:ascii="Arial" w:eastAsia="Arial" w:hAnsi="Arial" w:cs="Arial"/>
                <w:sz w:val="22"/>
                <w:szCs w:val="22"/>
              </w:rPr>
            </w:pPr>
          </w:p>
          <w:p w:rsidR="00574408" w:rsidRDefault="00574408">
            <w:pPr>
              <w:rPr>
                <w:rFonts w:ascii="Arial" w:eastAsia="Arial" w:hAnsi="Arial" w:cs="Arial"/>
                <w:b/>
                <w:sz w:val="22"/>
                <w:szCs w:val="22"/>
              </w:rPr>
            </w:pPr>
          </w:p>
          <w:p w:rsidR="00574408" w:rsidRDefault="00E870D2">
            <w:pPr>
              <w:rPr>
                <w:rFonts w:ascii="Arial" w:eastAsia="Arial" w:hAnsi="Arial" w:cs="Arial"/>
                <w:b/>
                <w:sz w:val="22"/>
                <w:szCs w:val="22"/>
              </w:rPr>
            </w:pPr>
            <w:r>
              <w:rPr>
                <w:rFonts w:ascii="Arial" w:eastAsia="Arial" w:hAnsi="Arial" w:cs="Arial"/>
                <w:b/>
                <w:sz w:val="22"/>
                <w:szCs w:val="22"/>
              </w:rPr>
              <w:t>RODRIGO LARA RESTREPO</w:t>
            </w:r>
          </w:p>
          <w:p w:rsidR="00574408" w:rsidRDefault="00E870D2">
            <w:pPr>
              <w:rPr>
                <w:rFonts w:ascii="Arial" w:eastAsia="Arial" w:hAnsi="Arial" w:cs="Arial"/>
                <w:sz w:val="22"/>
                <w:szCs w:val="22"/>
              </w:rPr>
            </w:pPr>
            <w:r>
              <w:rPr>
                <w:rFonts w:ascii="Arial" w:eastAsia="Arial" w:hAnsi="Arial" w:cs="Arial"/>
                <w:sz w:val="22"/>
                <w:szCs w:val="22"/>
              </w:rPr>
              <w:t>Representante a la Cámara</w:t>
            </w:r>
          </w:p>
          <w:p w:rsidR="00574408" w:rsidRDefault="00574408">
            <w:pPr>
              <w:rPr>
                <w:rFonts w:ascii="Arial" w:eastAsia="Arial" w:hAnsi="Arial" w:cs="Arial"/>
                <w:sz w:val="22"/>
                <w:szCs w:val="22"/>
              </w:rPr>
            </w:pPr>
          </w:p>
        </w:tc>
      </w:tr>
      <w:tr w:rsidR="00574408">
        <w:tc>
          <w:tcPr>
            <w:tcW w:w="4489" w:type="dxa"/>
          </w:tcPr>
          <w:p w:rsidR="00574408" w:rsidRDefault="00574408">
            <w:pPr>
              <w:rPr>
                <w:rFonts w:ascii="Arial" w:eastAsia="Arial" w:hAnsi="Arial" w:cs="Arial"/>
                <w:sz w:val="22"/>
                <w:szCs w:val="22"/>
              </w:rPr>
            </w:pPr>
          </w:p>
          <w:p w:rsidR="00574408" w:rsidRDefault="00574408">
            <w:pPr>
              <w:rPr>
                <w:rFonts w:ascii="Arial" w:eastAsia="Arial" w:hAnsi="Arial" w:cs="Arial"/>
                <w:sz w:val="22"/>
                <w:szCs w:val="22"/>
              </w:rPr>
            </w:pPr>
          </w:p>
          <w:p w:rsidR="00574408" w:rsidRDefault="00574408">
            <w:pPr>
              <w:rPr>
                <w:rFonts w:ascii="Arial" w:eastAsia="Arial" w:hAnsi="Arial" w:cs="Arial"/>
                <w:sz w:val="22"/>
                <w:szCs w:val="22"/>
              </w:rPr>
            </w:pPr>
          </w:p>
          <w:p w:rsidR="00574408" w:rsidRDefault="00574408">
            <w:pPr>
              <w:rPr>
                <w:rFonts w:ascii="Arial" w:eastAsia="Arial" w:hAnsi="Arial" w:cs="Arial"/>
                <w:sz w:val="22"/>
                <w:szCs w:val="22"/>
              </w:rPr>
            </w:pPr>
          </w:p>
          <w:p w:rsidR="00574408" w:rsidRDefault="00574408">
            <w:pPr>
              <w:rPr>
                <w:rFonts w:ascii="Arial" w:eastAsia="Arial" w:hAnsi="Arial" w:cs="Arial"/>
                <w:sz w:val="22"/>
                <w:szCs w:val="22"/>
              </w:rPr>
            </w:pPr>
          </w:p>
          <w:p w:rsidR="00574408" w:rsidRDefault="001F6C8E">
            <w:pPr>
              <w:rPr>
                <w:rFonts w:ascii="Arial" w:eastAsia="Arial" w:hAnsi="Arial" w:cs="Arial"/>
                <w:b/>
                <w:sz w:val="22"/>
                <w:szCs w:val="22"/>
              </w:rPr>
            </w:pPr>
            <w:r>
              <w:rPr>
                <w:rFonts w:ascii="Arial" w:eastAsia="Arial" w:hAnsi="Arial" w:cs="Arial"/>
                <w:b/>
                <w:sz w:val="22"/>
                <w:szCs w:val="22"/>
              </w:rPr>
              <w:t>ANDRÉ</w:t>
            </w:r>
            <w:r w:rsidR="00E870D2">
              <w:rPr>
                <w:rFonts w:ascii="Arial" w:eastAsia="Arial" w:hAnsi="Arial" w:cs="Arial"/>
                <w:b/>
                <w:sz w:val="22"/>
                <w:szCs w:val="22"/>
              </w:rPr>
              <w:t>S GARCIA ZUCCARDI</w:t>
            </w:r>
          </w:p>
          <w:p w:rsidR="00574408" w:rsidRDefault="00E870D2">
            <w:pPr>
              <w:rPr>
                <w:rFonts w:ascii="Arial" w:eastAsia="Arial" w:hAnsi="Arial" w:cs="Arial"/>
                <w:sz w:val="22"/>
                <w:szCs w:val="22"/>
              </w:rPr>
            </w:pPr>
            <w:r>
              <w:rPr>
                <w:rFonts w:ascii="Arial" w:eastAsia="Arial" w:hAnsi="Arial" w:cs="Arial"/>
                <w:sz w:val="22"/>
                <w:szCs w:val="22"/>
              </w:rPr>
              <w:t>Senador de la República</w:t>
            </w:r>
          </w:p>
          <w:p w:rsidR="00574408" w:rsidRDefault="00574408">
            <w:pPr>
              <w:rPr>
                <w:rFonts w:ascii="Arial" w:eastAsia="Arial" w:hAnsi="Arial" w:cs="Arial"/>
                <w:sz w:val="22"/>
                <w:szCs w:val="22"/>
              </w:rPr>
            </w:pPr>
          </w:p>
        </w:tc>
        <w:tc>
          <w:tcPr>
            <w:tcW w:w="4489" w:type="dxa"/>
          </w:tcPr>
          <w:p w:rsidR="00574408" w:rsidRDefault="00574408">
            <w:pPr>
              <w:rPr>
                <w:rFonts w:ascii="Arial" w:eastAsia="Arial" w:hAnsi="Arial" w:cs="Arial"/>
                <w:sz w:val="22"/>
                <w:szCs w:val="22"/>
              </w:rPr>
            </w:pPr>
          </w:p>
          <w:p w:rsidR="00574408" w:rsidRDefault="00574408">
            <w:pPr>
              <w:rPr>
                <w:rFonts w:ascii="Arial" w:eastAsia="Arial" w:hAnsi="Arial" w:cs="Arial"/>
                <w:sz w:val="22"/>
                <w:szCs w:val="22"/>
              </w:rPr>
            </w:pPr>
          </w:p>
          <w:p w:rsidR="00574408" w:rsidRDefault="00574408">
            <w:pPr>
              <w:rPr>
                <w:rFonts w:ascii="Arial" w:eastAsia="Arial" w:hAnsi="Arial" w:cs="Arial"/>
                <w:sz w:val="22"/>
                <w:szCs w:val="22"/>
              </w:rPr>
            </w:pPr>
          </w:p>
          <w:p w:rsidR="00574408" w:rsidRDefault="00574408">
            <w:pPr>
              <w:rPr>
                <w:rFonts w:ascii="Arial" w:eastAsia="Arial" w:hAnsi="Arial" w:cs="Arial"/>
                <w:sz w:val="22"/>
                <w:szCs w:val="22"/>
              </w:rPr>
            </w:pPr>
          </w:p>
          <w:p w:rsidR="00574408" w:rsidRDefault="00574408">
            <w:pPr>
              <w:rPr>
                <w:rFonts w:ascii="Arial" w:eastAsia="Arial" w:hAnsi="Arial" w:cs="Arial"/>
                <w:sz w:val="22"/>
                <w:szCs w:val="22"/>
              </w:rPr>
            </w:pPr>
          </w:p>
          <w:p w:rsidR="00574408" w:rsidRDefault="00E870D2">
            <w:pPr>
              <w:rPr>
                <w:rFonts w:ascii="Arial" w:eastAsia="Arial" w:hAnsi="Arial" w:cs="Arial"/>
                <w:b/>
                <w:sz w:val="22"/>
                <w:szCs w:val="22"/>
              </w:rPr>
            </w:pPr>
            <w:r>
              <w:rPr>
                <w:rFonts w:ascii="Arial" w:eastAsia="Arial" w:hAnsi="Arial" w:cs="Arial"/>
                <w:b/>
                <w:sz w:val="22"/>
                <w:szCs w:val="22"/>
              </w:rPr>
              <w:t>JOSE LUIS PEREZ</w:t>
            </w:r>
          </w:p>
          <w:p w:rsidR="00574408" w:rsidRDefault="00E870D2">
            <w:pPr>
              <w:rPr>
                <w:rFonts w:ascii="Arial" w:eastAsia="Arial" w:hAnsi="Arial" w:cs="Arial"/>
                <w:sz w:val="22"/>
                <w:szCs w:val="22"/>
              </w:rPr>
            </w:pPr>
            <w:r>
              <w:rPr>
                <w:rFonts w:ascii="Arial" w:eastAsia="Arial" w:hAnsi="Arial" w:cs="Arial"/>
                <w:sz w:val="22"/>
                <w:szCs w:val="22"/>
              </w:rPr>
              <w:t>Representante a la Cámara</w:t>
            </w:r>
          </w:p>
          <w:p w:rsidR="00574408" w:rsidRDefault="00574408">
            <w:pPr>
              <w:rPr>
                <w:rFonts w:ascii="Arial" w:eastAsia="Arial" w:hAnsi="Arial" w:cs="Arial"/>
                <w:sz w:val="22"/>
                <w:szCs w:val="22"/>
              </w:rPr>
            </w:pPr>
          </w:p>
        </w:tc>
      </w:tr>
      <w:tr w:rsidR="00574408">
        <w:tc>
          <w:tcPr>
            <w:tcW w:w="4489" w:type="dxa"/>
          </w:tcPr>
          <w:p w:rsidR="00574408" w:rsidRDefault="00574408">
            <w:pPr>
              <w:rPr>
                <w:rFonts w:ascii="Arial" w:eastAsia="Arial" w:hAnsi="Arial" w:cs="Arial"/>
                <w:sz w:val="22"/>
                <w:szCs w:val="22"/>
              </w:rPr>
            </w:pPr>
          </w:p>
          <w:p w:rsidR="00574408" w:rsidRDefault="00574408">
            <w:pPr>
              <w:rPr>
                <w:rFonts w:ascii="Arial" w:eastAsia="Arial" w:hAnsi="Arial" w:cs="Arial"/>
                <w:sz w:val="22"/>
                <w:szCs w:val="22"/>
              </w:rPr>
            </w:pPr>
          </w:p>
          <w:p w:rsidR="00574408" w:rsidRDefault="00574408">
            <w:pPr>
              <w:rPr>
                <w:rFonts w:ascii="Arial" w:eastAsia="Arial" w:hAnsi="Arial" w:cs="Arial"/>
                <w:sz w:val="22"/>
                <w:szCs w:val="22"/>
              </w:rPr>
            </w:pPr>
          </w:p>
          <w:p w:rsidR="00574408" w:rsidRDefault="00574408">
            <w:pPr>
              <w:rPr>
                <w:rFonts w:ascii="Arial" w:eastAsia="Arial" w:hAnsi="Arial" w:cs="Arial"/>
                <w:sz w:val="22"/>
                <w:szCs w:val="22"/>
              </w:rPr>
            </w:pPr>
          </w:p>
          <w:p w:rsidR="00574408" w:rsidRDefault="00E870D2">
            <w:pPr>
              <w:rPr>
                <w:rFonts w:ascii="Arial" w:eastAsia="Arial" w:hAnsi="Arial" w:cs="Arial"/>
                <w:b/>
                <w:sz w:val="22"/>
                <w:szCs w:val="22"/>
              </w:rPr>
            </w:pPr>
            <w:r>
              <w:rPr>
                <w:rFonts w:ascii="Arial" w:eastAsia="Arial" w:hAnsi="Arial" w:cs="Arial"/>
                <w:b/>
                <w:sz w:val="22"/>
                <w:szCs w:val="22"/>
              </w:rPr>
              <w:t>ANTONIO CORREA JIMENEZ</w:t>
            </w:r>
          </w:p>
          <w:p w:rsidR="00574408" w:rsidRDefault="001F6C8E" w:rsidP="001F6C8E">
            <w:pPr>
              <w:rPr>
                <w:rFonts w:ascii="Arial" w:eastAsia="Arial" w:hAnsi="Arial" w:cs="Arial"/>
                <w:sz w:val="22"/>
                <w:szCs w:val="22"/>
              </w:rPr>
            </w:pPr>
            <w:r>
              <w:rPr>
                <w:rFonts w:ascii="Arial" w:eastAsia="Arial" w:hAnsi="Arial" w:cs="Arial"/>
                <w:sz w:val="22"/>
                <w:szCs w:val="22"/>
              </w:rPr>
              <w:t>Senador de la República</w:t>
            </w:r>
          </w:p>
        </w:tc>
        <w:tc>
          <w:tcPr>
            <w:tcW w:w="4489" w:type="dxa"/>
          </w:tcPr>
          <w:p w:rsidR="00574408" w:rsidRDefault="00574408">
            <w:pPr>
              <w:rPr>
                <w:rFonts w:ascii="Arial" w:eastAsia="Arial" w:hAnsi="Arial" w:cs="Arial"/>
                <w:sz w:val="22"/>
                <w:szCs w:val="22"/>
              </w:rPr>
            </w:pPr>
          </w:p>
          <w:p w:rsidR="00574408" w:rsidRDefault="00574408">
            <w:pPr>
              <w:rPr>
                <w:rFonts w:ascii="Arial" w:eastAsia="Arial" w:hAnsi="Arial" w:cs="Arial"/>
                <w:sz w:val="22"/>
                <w:szCs w:val="22"/>
              </w:rPr>
            </w:pPr>
          </w:p>
          <w:p w:rsidR="00574408" w:rsidRDefault="00574408">
            <w:pPr>
              <w:rPr>
                <w:rFonts w:ascii="Arial" w:eastAsia="Arial" w:hAnsi="Arial" w:cs="Arial"/>
                <w:sz w:val="22"/>
                <w:szCs w:val="22"/>
              </w:rPr>
            </w:pPr>
          </w:p>
          <w:p w:rsidR="001F6C8E" w:rsidRDefault="001F6C8E">
            <w:pPr>
              <w:rPr>
                <w:rFonts w:ascii="Arial" w:eastAsia="Arial" w:hAnsi="Arial" w:cs="Arial"/>
                <w:b/>
                <w:sz w:val="22"/>
                <w:szCs w:val="22"/>
              </w:rPr>
            </w:pPr>
          </w:p>
          <w:p w:rsidR="00574408" w:rsidRDefault="00E870D2">
            <w:pPr>
              <w:rPr>
                <w:rFonts w:ascii="Arial" w:eastAsia="Arial" w:hAnsi="Arial" w:cs="Arial"/>
                <w:b/>
                <w:sz w:val="22"/>
                <w:szCs w:val="22"/>
              </w:rPr>
            </w:pPr>
            <w:r>
              <w:rPr>
                <w:rFonts w:ascii="Arial" w:eastAsia="Arial" w:hAnsi="Arial" w:cs="Arial"/>
                <w:b/>
                <w:sz w:val="22"/>
                <w:szCs w:val="22"/>
              </w:rPr>
              <w:t>JUAN FELIPE LEMOS</w:t>
            </w:r>
          </w:p>
          <w:p w:rsidR="00574408" w:rsidRDefault="00E870D2" w:rsidP="001F6C8E">
            <w:pPr>
              <w:rPr>
                <w:rFonts w:ascii="Arial" w:eastAsia="Arial" w:hAnsi="Arial" w:cs="Arial"/>
                <w:sz w:val="22"/>
                <w:szCs w:val="22"/>
              </w:rPr>
            </w:pPr>
            <w:r>
              <w:rPr>
                <w:rFonts w:ascii="Arial" w:eastAsia="Arial" w:hAnsi="Arial" w:cs="Arial"/>
                <w:sz w:val="22"/>
                <w:szCs w:val="22"/>
              </w:rPr>
              <w:t>Representante a la Cámara</w:t>
            </w:r>
          </w:p>
        </w:tc>
      </w:tr>
    </w:tbl>
    <w:p w:rsidR="00574408" w:rsidRDefault="00574408" w:rsidP="001F6C8E">
      <w:pPr>
        <w:rPr>
          <w:rFonts w:ascii="Arial" w:eastAsia="Arial" w:hAnsi="Arial" w:cs="Arial"/>
        </w:rPr>
      </w:pPr>
    </w:p>
    <w:sectPr w:rsidR="00574408">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514" w:rsidRDefault="00577514">
      <w:r>
        <w:separator/>
      </w:r>
    </w:p>
  </w:endnote>
  <w:endnote w:type="continuationSeparator" w:id="0">
    <w:p w:rsidR="00577514" w:rsidRDefault="0057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053" w:rsidRDefault="008F605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053" w:rsidRDefault="008F6053">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310510">
      <w:rPr>
        <w:noProof/>
        <w:color w:val="000000"/>
      </w:rPr>
      <w:t>5</w:t>
    </w:r>
    <w:r>
      <w:rPr>
        <w:color w:val="000000"/>
      </w:rPr>
      <w:fldChar w:fldCharType="end"/>
    </w:r>
  </w:p>
  <w:p w:rsidR="008F6053" w:rsidRDefault="008F6053">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053" w:rsidRDefault="008F605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514" w:rsidRDefault="00577514">
      <w:r>
        <w:separator/>
      </w:r>
    </w:p>
  </w:footnote>
  <w:footnote w:type="continuationSeparator" w:id="0">
    <w:p w:rsidR="00577514" w:rsidRDefault="005775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053" w:rsidRDefault="008F605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053" w:rsidRDefault="008F6053">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053" w:rsidRDefault="008F605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2688C"/>
    <w:multiLevelType w:val="multilevel"/>
    <w:tmpl w:val="158CEF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408"/>
    <w:rsid w:val="001F6C8E"/>
    <w:rsid w:val="00310510"/>
    <w:rsid w:val="004D3F0D"/>
    <w:rsid w:val="00556224"/>
    <w:rsid w:val="00574408"/>
    <w:rsid w:val="00577514"/>
    <w:rsid w:val="007D720E"/>
    <w:rsid w:val="00846A7C"/>
    <w:rsid w:val="008F6053"/>
    <w:rsid w:val="00D43C3B"/>
    <w:rsid w:val="00E870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4150CA-2251-4ADA-9620-F2ECE1CA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770"/>
    <w:rPr>
      <w:lang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994770"/>
    <w:pPr>
      <w:spacing w:before="100" w:beforeAutospacing="1" w:after="100" w:afterAutospacing="1"/>
    </w:pPr>
  </w:style>
  <w:style w:type="table" w:styleId="Tablaconcuadrcula">
    <w:name w:val="Table Grid"/>
    <w:basedOn w:val="Tablanormal"/>
    <w:uiPriority w:val="59"/>
    <w:rsid w:val="00C82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14607"/>
    <w:rPr>
      <w:rFonts w:ascii="Tahoma" w:hAnsi="Tahoma" w:cs="Tahoma"/>
      <w:sz w:val="16"/>
      <w:szCs w:val="16"/>
    </w:rPr>
  </w:style>
  <w:style w:type="character" w:customStyle="1" w:styleId="TextodegloboCar">
    <w:name w:val="Texto de globo Car"/>
    <w:basedOn w:val="Fuentedeprrafopredeter"/>
    <w:link w:val="Textodeglobo"/>
    <w:uiPriority w:val="99"/>
    <w:semiHidden/>
    <w:rsid w:val="00A14607"/>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B57D67"/>
    <w:pPr>
      <w:tabs>
        <w:tab w:val="center" w:pos="4419"/>
        <w:tab w:val="right" w:pos="8838"/>
      </w:tabs>
    </w:pPr>
  </w:style>
  <w:style w:type="character" w:customStyle="1" w:styleId="EncabezadoCar">
    <w:name w:val="Encabezado Car"/>
    <w:basedOn w:val="Fuentedeprrafopredeter"/>
    <w:link w:val="Encabezado"/>
    <w:uiPriority w:val="99"/>
    <w:rsid w:val="00B57D6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57D67"/>
    <w:pPr>
      <w:tabs>
        <w:tab w:val="center" w:pos="4419"/>
        <w:tab w:val="right" w:pos="8838"/>
      </w:tabs>
    </w:pPr>
  </w:style>
  <w:style w:type="character" w:customStyle="1" w:styleId="PiedepginaCar">
    <w:name w:val="Pie de página Car"/>
    <w:basedOn w:val="Fuentedeprrafopredeter"/>
    <w:link w:val="Piedepgina"/>
    <w:uiPriority w:val="99"/>
    <w:rsid w:val="00B57D67"/>
    <w:rPr>
      <w:rFonts w:ascii="Times New Roman" w:eastAsia="Times New Roman" w:hAnsi="Times New Roman" w:cs="Times New Roman"/>
      <w:sz w:val="24"/>
      <w:szCs w:val="24"/>
      <w:lang w:val="es-ES" w:eastAsia="es-ES"/>
    </w:rPr>
  </w:style>
  <w:style w:type="paragraph" w:customStyle="1" w:styleId="xmsonormal">
    <w:name w:val="x_msonormal"/>
    <w:basedOn w:val="Normal"/>
    <w:rsid w:val="0020216A"/>
    <w:pPr>
      <w:spacing w:before="100" w:beforeAutospacing="1" w:after="100" w:afterAutospacing="1"/>
    </w:pPr>
    <w:rPr>
      <w:lang w:val="es-CO" w:eastAsia="es-CO"/>
    </w:rPr>
  </w:style>
  <w:style w:type="paragraph" w:styleId="Prrafodelista">
    <w:name w:val="List Paragraph"/>
    <w:basedOn w:val="Normal"/>
    <w:uiPriority w:val="34"/>
    <w:qFormat/>
    <w:rsid w:val="0020216A"/>
    <w:pPr>
      <w:spacing w:after="200" w:line="276" w:lineRule="auto"/>
      <w:ind w:left="720"/>
      <w:contextualSpacing/>
    </w:pPr>
    <w:rPr>
      <w:rFonts w:asciiTheme="minorHAnsi" w:eastAsiaTheme="minorHAnsi" w:hAnsiTheme="minorHAnsi" w:cstheme="minorBidi"/>
      <w:sz w:val="22"/>
      <w:szCs w:val="22"/>
      <w:lang w:val="es-CO"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ngresovisible.org/congresistas/perfil/oscar-mauricio-lizcano-arango/17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gresovisible.org/congresistas/perfil/miguel-angel-pinto-hernandez/1970/"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14000-1BDE-4DED-9F67-395A035DE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1844</Words>
  <Characters>10143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Lucia Jaimes Bohorquez</dc:creator>
  <cp:lastModifiedBy>marlene gordillo</cp:lastModifiedBy>
  <cp:revision>2</cp:revision>
  <cp:lastPrinted>2018-05-17T20:33:00Z</cp:lastPrinted>
  <dcterms:created xsi:type="dcterms:W3CDTF">2018-05-18T00:55:00Z</dcterms:created>
  <dcterms:modified xsi:type="dcterms:W3CDTF">2018-05-18T00:55:00Z</dcterms:modified>
</cp:coreProperties>
</file>